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F02" w:rsidRPr="002D6524" w:rsidRDefault="001E4F02" w:rsidP="00B80F17">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92</w:t>
      </w:r>
      <w:r w:rsidR="00E5629B">
        <w:rPr>
          <w:rFonts w:cs="Arial"/>
          <w:sz w:val="24"/>
          <w:szCs w:val="24"/>
        </w:rPr>
        <w:t>-Bis</w:t>
      </w:r>
      <w:r w:rsidRPr="002D6524">
        <w:rPr>
          <w:rFonts w:cs="Arial"/>
          <w:noProof w:val="0"/>
          <w:sz w:val="24"/>
        </w:rPr>
        <w:tab/>
      </w:r>
      <w:r w:rsidRPr="002D6524">
        <w:rPr>
          <w:rFonts w:cs="Arial"/>
          <w:noProof w:val="0"/>
          <w:sz w:val="24"/>
        </w:rPr>
        <w:tab/>
      </w:r>
      <w:r w:rsidR="00B80F17" w:rsidRPr="00B80F17">
        <w:rPr>
          <w:rFonts w:cs="Arial"/>
          <w:noProof w:val="0"/>
          <w:sz w:val="24"/>
        </w:rPr>
        <w:t>R4-1911031</w:t>
      </w:r>
    </w:p>
    <w:p w:rsidR="001E4F02" w:rsidRPr="002D6524" w:rsidRDefault="00E5629B" w:rsidP="00E5629B">
      <w:pPr>
        <w:pStyle w:val="Header"/>
        <w:rPr>
          <w:noProof w:val="0"/>
          <w:sz w:val="24"/>
          <w:szCs w:val="24"/>
          <w:lang w:eastAsia="zh-CN"/>
        </w:rPr>
      </w:pPr>
      <w:r>
        <w:rPr>
          <w:noProof w:val="0"/>
          <w:sz w:val="24"/>
          <w:szCs w:val="24"/>
          <w:lang w:eastAsia="zh-CN"/>
        </w:rPr>
        <w:t>Chongqing</w:t>
      </w:r>
      <w:r w:rsidRPr="00E5629B">
        <w:rPr>
          <w:noProof w:val="0"/>
          <w:sz w:val="24"/>
          <w:szCs w:val="24"/>
          <w:lang w:eastAsia="zh-CN"/>
        </w:rPr>
        <w:t>, C</w:t>
      </w:r>
      <w:r>
        <w:rPr>
          <w:noProof w:val="0"/>
          <w:sz w:val="24"/>
          <w:szCs w:val="24"/>
          <w:lang w:eastAsia="zh-CN"/>
        </w:rPr>
        <w:t>hina</w:t>
      </w:r>
      <w:r w:rsidR="001E4F02">
        <w:rPr>
          <w:bCs/>
          <w:sz w:val="24"/>
          <w:szCs w:val="24"/>
          <w:lang w:val="en-GB" w:eastAsia="zh-CN"/>
        </w:rPr>
        <w:t xml:space="preserve">, </w:t>
      </w:r>
      <w:r>
        <w:rPr>
          <w:noProof w:val="0"/>
          <w:sz w:val="24"/>
          <w:szCs w:val="24"/>
          <w:lang w:val="en-GB" w:eastAsia="zh-CN"/>
        </w:rPr>
        <w:t>14</w:t>
      </w:r>
      <w:r w:rsidR="001E4F02" w:rsidRPr="00091611">
        <w:rPr>
          <w:noProof w:val="0"/>
          <w:sz w:val="24"/>
          <w:szCs w:val="24"/>
          <w:vertAlign w:val="superscript"/>
          <w:lang w:val="en-GB" w:eastAsia="zh-CN"/>
        </w:rPr>
        <w:t>th</w:t>
      </w:r>
      <w:r w:rsidR="001E4F02" w:rsidRPr="00091611">
        <w:rPr>
          <w:noProof w:val="0"/>
          <w:sz w:val="24"/>
          <w:szCs w:val="24"/>
          <w:lang w:val="en-GB" w:eastAsia="zh-CN"/>
        </w:rPr>
        <w:t xml:space="preserve"> – </w:t>
      </w:r>
      <w:r>
        <w:rPr>
          <w:noProof w:val="0"/>
          <w:sz w:val="24"/>
          <w:szCs w:val="24"/>
          <w:lang w:val="en-GB" w:eastAsia="zh-CN"/>
        </w:rPr>
        <w:t>18</w:t>
      </w:r>
      <w:r w:rsidR="001E4F02" w:rsidRPr="00091611">
        <w:rPr>
          <w:noProof w:val="0"/>
          <w:sz w:val="24"/>
          <w:szCs w:val="24"/>
          <w:vertAlign w:val="superscript"/>
          <w:lang w:val="en-GB" w:eastAsia="zh-CN"/>
        </w:rPr>
        <w:t>th</w:t>
      </w:r>
      <w:r w:rsidR="001E4F02" w:rsidRPr="00091611">
        <w:rPr>
          <w:noProof w:val="0"/>
          <w:sz w:val="24"/>
          <w:szCs w:val="24"/>
          <w:lang w:val="en-GB" w:eastAsia="zh-CN"/>
        </w:rPr>
        <w:t xml:space="preserve"> </w:t>
      </w:r>
      <w:r>
        <w:rPr>
          <w:bCs/>
          <w:sz w:val="24"/>
          <w:szCs w:val="24"/>
          <w:lang w:val="en-GB" w:eastAsia="zh-CN"/>
        </w:rPr>
        <w:t>October</w:t>
      </w:r>
      <w:r w:rsidR="001E4F02" w:rsidRPr="000F1A2C">
        <w:rPr>
          <w:bCs/>
          <w:sz w:val="24"/>
          <w:szCs w:val="24"/>
          <w:lang w:val="en-GB" w:eastAsia="zh-CN"/>
        </w:rPr>
        <w:t>, 2019</w:t>
      </w:r>
    </w:p>
    <w:p w:rsidR="001E4F02" w:rsidRPr="002D6524" w:rsidRDefault="001E4F02" w:rsidP="001E4F02">
      <w:pPr>
        <w:tabs>
          <w:tab w:val="left" w:pos="1985"/>
        </w:tabs>
        <w:spacing w:before="0" w:after="0"/>
        <w:ind w:left="1975" w:hangingChars="823" w:hanging="1975"/>
        <w:jc w:val="both"/>
        <w:rPr>
          <w:rFonts w:ascii="Arial" w:hAnsi="Arial" w:cs="Arial"/>
          <w:sz w:val="24"/>
          <w:highlight w:val="yellow"/>
          <w:lang w:val="en-US"/>
        </w:rPr>
      </w:pPr>
    </w:p>
    <w:p w:rsidR="001E4F02" w:rsidRPr="002C1654" w:rsidRDefault="001E4F02" w:rsidP="005522B7">
      <w:pPr>
        <w:tabs>
          <w:tab w:val="left" w:pos="1985"/>
        </w:tabs>
        <w:spacing w:before="0"/>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0" w:name="Source"/>
      <w:bookmarkEnd w:id="0"/>
      <w:r w:rsidR="005522B7" w:rsidRPr="005522B7">
        <w:rPr>
          <w:rFonts w:ascii="Arial" w:hAnsi="Arial" w:cs="Arial"/>
          <w:b/>
          <w:sz w:val="24"/>
        </w:rPr>
        <w:t>8.14.9</w:t>
      </w:r>
    </w:p>
    <w:p w:rsidR="001E4F02" w:rsidRPr="002C1654" w:rsidRDefault="001E4F02" w:rsidP="001E4F02">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1E4F02" w:rsidRPr="002C1654" w:rsidRDefault="001E4F02" w:rsidP="00E5629B">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5629B" w:rsidRPr="00E5629B">
        <w:rPr>
          <w:rFonts w:ascii="Arial" w:hAnsi="Arial" w:cs="Arial"/>
          <w:b/>
          <w:sz w:val="24"/>
        </w:rPr>
        <w:t xml:space="preserve">FR2 </w:t>
      </w:r>
      <w:r w:rsidR="00D72AAA">
        <w:rPr>
          <w:rFonts w:ascii="Arial" w:hAnsi="Arial" w:cs="Arial"/>
          <w:b/>
          <w:sz w:val="24"/>
        </w:rPr>
        <w:t xml:space="preserve">PC3 </w:t>
      </w:r>
      <w:r w:rsidR="00E5629B" w:rsidRPr="00E5629B">
        <w:rPr>
          <w:rFonts w:ascii="Arial" w:hAnsi="Arial" w:cs="Arial"/>
          <w:b/>
          <w:sz w:val="24"/>
        </w:rPr>
        <w:t>MPR enhancement for Rel-16</w:t>
      </w:r>
    </w:p>
    <w:p w:rsidR="001E4F02" w:rsidRPr="00146B4F" w:rsidRDefault="001E4F02" w:rsidP="00186DD4">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186DD4">
        <w:rPr>
          <w:rFonts w:ascii="Arial" w:hAnsi="Arial" w:cs="Arial"/>
          <w:b/>
          <w:sz w:val="24"/>
        </w:rPr>
        <w:t>Approval</w:t>
      </w:r>
    </w:p>
    <w:p w:rsidR="001E4F02" w:rsidRPr="00146B4F" w:rsidRDefault="001E4F02" w:rsidP="001E4F02">
      <w:pPr>
        <w:pStyle w:val="Heading1"/>
      </w:pPr>
      <w:r w:rsidRPr="00146B4F">
        <w:t>Introduction</w:t>
      </w:r>
    </w:p>
    <w:p w:rsidR="001E4F02" w:rsidRDefault="001E4F02" w:rsidP="007E70D8">
      <w:pPr>
        <w:jc w:val="both"/>
      </w:pPr>
      <w:r>
        <w:t>In RAN4</w:t>
      </w:r>
      <w:r w:rsidR="007032BA">
        <w:t>#9</w:t>
      </w:r>
      <w:r w:rsidR="001E2BDB">
        <w:t>2</w:t>
      </w:r>
      <w:r>
        <w:t xml:space="preserve">, </w:t>
      </w:r>
      <w:r w:rsidR="001E2BDB">
        <w:t xml:space="preserve">a way forward [1] was agreed to </w:t>
      </w:r>
      <w:r w:rsidR="007E70D8">
        <w:t>evaluate the validity of extending 0dB MPR region for PC3 and to evaluate the impact of relaxing IBE requirements to enable power boosting for PC3. In this paper, we discuss these two possible FR2 MPR improvements and propose the corresponding RF requirements.</w:t>
      </w:r>
    </w:p>
    <w:p w:rsidR="001E4F02" w:rsidRDefault="001E4F02" w:rsidP="001E4F02">
      <w:pPr>
        <w:pStyle w:val="Heading1"/>
      </w:pPr>
      <w:r>
        <w:t>Discussion</w:t>
      </w:r>
    </w:p>
    <w:p w:rsidR="007E70D8" w:rsidRDefault="007E70D8" w:rsidP="007E70D8">
      <w:pPr>
        <w:pStyle w:val="Heading2"/>
      </w:pPr>
      <w:r>
        <w:t>Extending 0dB MPR region</w:t>
      </w:r>
    </w:p>
    <w:p w:rsidR="00957CE0" w:rsidRDefault="00957CE0" w:rsidP="006059BA">
      <w:pPr>
        <w:jc w:val="both"/>
      </w:pPr>
      <w:r>
        <w:t xml:space="preserve">The first potential improvement for FR2 </w:t>
      </w:r>
      <w:r w:rsidR="00D72AAA">
        <w:t xml:space="preserve">PC3 </w:t>
      </w:r>
      <w:r>
        <w:t>MPR is to extend the 0dB MPR region</w:t>
      </w:r>
      <w:r w:rsidR="00DD74E1">
        <w:t xml:space="preserve"> (region 1)</w:t>
      </w:r>
      <w:r w:rsidR="00D72AAA">
        <w:t xml:space="preserve"> for BW &lt;= 200MHz</w:t>
      </w:r>
      <w:r>
        <w:t xml:space="preserve">. </w:t>
      </w:r>
      <w:r w:rsidR="00D72AAA">
        <w:t>For BW &lt;= 200MHz, t</w:t>
      </w:r>
      <w:r>
        <w:t xml:space="preserve">he current 0dB MPR region </w:t>
      </w:r>
      <w:r w:rsidR="00D72AAA">
        <w:t>is</w:t>
      </w:r>
      <w:r>
        <w:t xml:space="preserve"> defined</w:t>
      </w:r>
      <w:r w:rsidR="00D72AAA">
        <w:t xml:space="preserve"> as the middle one-third RB allocations for</w:t>
      </w:r>
      <w:r>
        <w:t xml:space="preserve"> </w:t>
      </w:r>
      <w:r w:rsidR="00D72AAA">
        <w:t xml:space="preserve">DFT-s-OFDM Pi/2 BPSK and DFT-s-OFDM QPSK in order to ensure OBW compliance. In this paper, we evaluate the validity of the proposal in [1] to extend the 0dB MPR region for Rel-16. The proposal </w:t>
      </w:r>
      <w:r w:rsidR="00000C33">
        <w:t>in [1] is copied in table</w:t>
      </w:r>
      <w:r w:rsidR="005E4A1C">
        <w:t xml:space="preserve"> 1</w:t>
      </w:r>
      <w:r w:rsidR="00000C33">
        <w:t>. The proposed changes to current specifications are highlighted in yellow.</w:t>
      </w:r>
    </w:p>
    <w:tbl>
      <w:tblPr>
        <w:tblStyle w:val="TableGrid"/>
        <w:tblW w:w="0" w:type="auto"/>
        <w:tblLook w:val="04A0" w:firstRow="1" w:lastRow="0" w:firstColumn="1" w:lastColumn="0" w:noHBand="0" w:noVBand="1"/>
      </w:tblPr>
      <w:tblGrid>
        <w:gridCol w:w="9629"/>
      </w:tblGrid>
      <w:tr w:rsidR="00000C33" w:rsidTr="000356DA">
        <w:tc>
          <w:tcPr>
            <w:tcW w:w="9629" w:type="dxa"/>
            <w:tcBorders>
              <w:top w:val="nil"/>
              <w:left w:val="nil"/>
              <w:bottom w:val="single" w:sz="4" w:space="0" w:color="auto"/>
              <w:right w:val="nil"/>
            </w:tcBorders>
          </w:tcPr>
          <w:p w:rsidR="00000C33" w:rsidRPr="00000C33" w:rsidRDefault="00755E83" w:rsidP="00781CB2">
            <w:pPr>
              <w:spacing w:after="0"/>
              <w:jc w:val="center"/>
              <w:rPr>
                <w:b/>
              </w:rPr>
            </w:pPr>
            <w:r>
              <w:rPr>
                <w:b/>
              </w:rPr>
              <w:t xml:space="preserve">Table 1: </w:t>
            </w:r>
            <w:r w:rsidR="00781CB2">
              <w:t>P</w:t>
            </w:r>
            <w:r>
              <w:t>roposed 0dB MPR region in [1]</w:t>
            </w:r>
          </w:p>
        </w:tc>
      </w:tr>
      <w:tr w:rsidR="00755E83" w:rsidTr="000356DA">
        <w:tc>
          <w:tcPr>
            <w:tcW w:w="9629" w:type="dxa"/>
            <w:tcBorders>
              <w:top w:val="single" w:sz="4" w:space="0" w:color="auto"/>
            </w:tcBorders>
          </w:tcPr>
          <w:p w:rsidR="00755E83" w:rsidRPr="00755E83" w:rsidRDefault="00755E83" w:rsidP="00755E83">
            <w:pPr>
              <w:rPr>
                <w:bCs/>
              </w:rPr>
            </w:pPr>
            <w:r w:rsidRPr="00755E83">
              <w:rPr>
                <w:bCs/>
              </w:rPr>
              <w:t xml:space="preserve">For power class 3, MPR for contiguous allocations is defined as: </w:t>
            </w:r>
          </w:p>
          <w:p w:rsidR="00755E83" w:rsidRPr="00755E83" w:rsidRDefault="00755E83" w:rsidP="00755E83">
            <w:pPr>
              <w:pStyle w:val="EQ"/>
              <w:jc w:val="center"/>
              <w:rPr>
                <w:bCs/>
              </w:rPr>
            </w:pPr>
            <w:r w:rsidRPr="00755E83">
              <w:rPr>
                <w:bCs/>
              </w:rPr>
              <w:t>MPR = max(MPR</w:t>
            </w:r>
            <w:r w:rsidRPr="00755E83">
              <w:rPr>
                <w:bCs/>
                <w:vertAlign w:val="subscript"/>
              </w:rPr>
              <w:t>WT</w:t>
            </w:r>
            <w:r w:rsidRPr="00755E83">
              <w:rPr>
                <w:bCs/>
              </w:rPr>
              <w:t>, MPR</w:t>
            </w:r>
            <w:r w:rsidRPr="00755E83">
              <w:rPr>
                <w:bCs/>
                <w:vertAlign w:val="subscript"/>
              </w:rPr>
              <w:t>narrow</w:t>
            </w:r>
            <w:r w:rsidRPr="00755E83">
              <w:rPr>
                <w:bCs/>
              </w:rPr>
              <w:t>)</w:t>
            </w:r>
          </w:p>
          <w:p w:rsidR="00755E83" w:rsidRPr="00755E83" w:rsidRDefault="00755E83" w:rsidP="00755E83">
            <w:pPr>
              <w:rPr>
                <w:bCs/>
              </w:rPr>
            </w:pPr>
            <w:r w:rsidRPr="00755E83">
              <w:rPr>
                <w:bCs/>
              </w:rPr>
              <w:t>Where,</w:t>
            </w:r>
          </w:p>
          <w:p w:rsidR="00755E83" w:rsidRPr="00755E83" w:rsidRDefault="00755E83" w:rsidP="00755E83">
            <w:pPr>
              <w:pStyle w:val="B1"/>
              <w:rPr>
                <w:bCs/>
              </w:rPr>
            </w:pPr>
            <w:proofErr w:type="spellStart"/>
            <w:r w:rsidRPr="00755E83">
              <w:rPr>
                <w:rFonts w:hint="eastAsia"/>
                <w:bCs/>
              </w:rPr>
              <w:t>MPR</w:t>
            </w:r>
            <w:r w:rsidRPr="00755E83">
              <w:rPr>
                <w:bCs/>
                <w:vertAlign w:val="subscript"/>
              </w:rPr>
              <w:t>narrow</w:t>
            </w:r>
            <w:proofErr w:type="spellEnd"/>
            <w:r w:rsidRPr="00755E83">
              <w:rPr>
                <w:rFonts w:hint="eastAsia"/>
                <w:bCs/>
              </w:rPr>
              <w:t xml:space="preserve"> = 2.5 dB, when the allocated RB size is less than or equal to 1.44</w:t>
            </w:r>
            <w:r w:rsidRPr="00755E83">
              <w:rPr>
                <w:bCs/>
              </w:rPr>
              <w:t xml:space="preserve"> </w:t>
            </w:r>
            <w:r w:rsidRPr="00755E83">
              <w:rPr>
                <w:rFonts w:hint="eastAsia"/>
                <w:bCs/>
              </w:rPr>
              <w:t>MHz, and 0</w:t>
            </w:r>
            <w:r w:rsidRPr="00755E83">
              <w:rPr>
                <w:bCs/>
              </w:rPr>
              <w:t xml:space="preserve"> </w:t>
            </w:r>
            <w:r w:rsidRPr="00755E83">
              <w:rPr>
                <w:rFonts w:hint="eastAsia"/>
                <w:bCs/>
              </w:rPr>
              <w:t>≤</w:t>
            </w:r>
            <w:r w:rsidRPr="00755E83">
              <w:rPr>
                <w:rFonts w:hint="eastAsia"/>
                <w:bCs/>
              </w:rPr>
              <w:t xml:space="preserve"> RB</w:t>
            </w:r>
            <w:r w:rsidRPr="00755E83">
              <w:rPr>
                <w:bCs/>
                <w:vertAlign w:val="subscript"/>
              </w:rPr>
              <w:t xml:space="preserve">start </w:t>
            </w:r>
            <w:r w:rsidRPr="00755E83">
              <w:rPr>
                <w:rFonts w:hint="eastAsia"/>
                <w:bCs/>
              </w:rPr>
              <w:t xml:space="preserve">&lt; </w:t>
            </w:r>
            <w:proofErr w:type="gramStart"/>
            <w:r w:rsidRPr="00755E83">
              <w:rPr>
                <w:rFonts w:hint="eastAsia"/>
                <w:bCs/>
              </w:rPr>
              <w:t>Ceil(</w:t>
            </w:r>
            <w:proofErr w:type="gramEnd"/>
            <w:r w:rsidRPr="00755E83">
              <w:rPr>
                <w:rFonts w:hint="eastAsia"/>
                <w:bCs/>
              </w:rPr>
              <w:t>1/3 N</w:t>
            </w:r>
            <w:r w:rsidRPr="00755E83">
              <w:rPr>
                <w:bCs/>
                <w:vertAlign w:val="subscript"/>
              </w:rPr>
              <w:t>RB</w:t>
            </w:r>
            <w:r w:rsidRPr="00755E83">
              <w:rPr>
                <w:rFonts w:hint="eastAsia"/>
                <w:bCs/>
              </w:rPr>
              <w:t>) or Ceil(2/3N</w:t>
            </w:r>
            <w:r w:rsidRPr="00755E83">
              <w:rPr>
                <w:bCs/>
                <w:vertAlign w:val="subscript"/>
              </w:rPr>
              <w:t>RB</w:t>
            </w:r>
            <w:r w:rsidRPr="00755E83">
              <w:rPr>
                <w:rFonts w:hint="eastAsia"/>
                <w:bCs/>
              </w:rPr>
              <w:t>)</w:t>
            </w:r>
            <w:r w:rsidRPr="00755E83">
              <w:rPr>
                <w:bCs/>
              </w:rPr>
              <w:t xml:space="preserve"> </w:t>
            </w:r>
            <w:r w:rsidRPr="00755E83">
              <w:rPr>
                <w:rFonts w:hint="eastAsia"/>
                <w:bCs/>
              </w:rPr>
              <w:t>≤</w:t>
            </w:r>
            <w:r w:rsidRPr="00755E83">
              <w:rPr>
                <w:rFonts w:hint="eastAsia"/>
                <w:bCs/>
              </w:rPr>
              <w:t xml:space="preserve"> RB</w:t>
            </w:r>
            <w:r w:rsidRPr="00755E83">
              <w:rPr>
                <w:bCs/>
                <w:vertAlign w:val="subscript"/>
              </w:rPr>
              <w:t>start</w:t>
            </w:r>
            <w:r w:rsidRPr="00755E83">
              <w:rPr>
                <w:bCs/>
              </w:rPr>
              <w:t xml:space="preserve"> </w:t>
            </w:r>
            <w:r w:rsidRPr="00755E83">
              <w:rPr>
                <w:rFonts w:hint="eastAsia"/>
                <w:bCs/>
              </w:rPr>
              <w:t>≤</w:t>
            </w:r>
            <w:r w:rsidRPr="00755E83">
              <w:rPr>
                <w:rFonts w:hint="eastAsia"/>
                <w:bCs/>
              </w:rPr>
              <w:t xml:space="preserve"> N</w:t>
            </w:r>
            <w:r w:rsidRPr="00755E83">
              <w:rPr>
                <w:bCs/>
                <w:vertAlign w:val="subscript"/>
              </w:rPr>
              <w:t>RB</w:t>
            </w:r>
            <w:r w:rsidRPr="00755E83">
              <w:rPr>
                <w:rFonts w:hint="eastAsia"/>
                <w:bCs/>
              </w:rPr>
              <w:t>-L</w:t>
            </w:r>
            <w:r w:rsidRPr="00755E83">
              <w:rPr>
                <w:bCs/>
                <w:vertAlign w:val="subscript"/>
              </w:rPr>
              <w:t>CRB</w:t>
            </w:r>
            <w:r w:rsidRPr="00755E83">
              <w:rPr>
                <w:rFonts w:eastAsia="Malgun Gothic"/>
                <w:bCs/>
              </w:rPr>
              <w:t>, where N</w:t>
            </w:r>
            <w:r w:rsidRPr="00755E83">
              <w:rPr>
                <w:rFonts w:eastAsia="Malgun Gothic"/>
                <w:bCs/>
                <w:vertAlign w:val="subscript"/>
              </w:rPr>
              <w:t>RB</w:t>
            </w:r>
            <w:r w:rsidRPr="00755E83">
              <w:rPr>
                <w:rFonts w:eastAsia="Malgun Gothic"/>
                <w:bCs/>
              </w:rPr>
              <w:t xml:space="preserve"> is the maximum transmission bandwidth configuration defined in Table 5.3.2-1.</w:t>
            </w:r>
          </w:p>
          <w:p w:rsidR="00755E83" w:rsidRPr="00755E83" w:rsidRDefault="00755E83" w:rsidP="00755E83">
            <w:pPr>
              <w:pStyle w:val="B1"/>
              <w:rPr>
                <w:bCs/>
              </w:rPr>
            </w:pPr>
            <w:r w:rsidRPr="00755E83">
              <w:rPr>
                <w:bCs/>
              </w:rPr>
              <w:t>MPR</w:t>
            </w:r>
            <w:r w:rsidRPr="00755E83">
              <w:rPr>
                <w:bCs/>
                <w:vertAlign w:val="subscript"/>
              </w:rPr>
              <w:t>WT</w:t>
            </w:r>
            <w:r w:rsidRPr="00755E83">
              <w:rPr>
                <w:bCs/>
              </w:rPr>
              <w:t xml:space="preserve"> is the maximum power reduction due to modulation orders, transmission bandwidth configurations listed in Table 5.3.2-1, and waveform types. MPR</w:t>
            </w:r>
            <w:r w:rsidRPr="00755E83">
              <w:rPr>
                <w:bCs/>
                <w:vertAlign w:val="subscript"/>
              </w:rPr>
              <w:t>WT</w:t>
            </w:r>
            <w:r w:rsidRPr="00755E83">
              <w:rPr>
                <w:bCs/>
              </w:rPr>
              <w:t xml:space="preserve"> is defined in Table 6.2.2.3-1</w:t>
            </w:r>
            <w:r w:rsidRPr="00755E83">
              <w:rPr>
                <w:rFonts w:eastAsia="Malgun Gothic"/>
                <w:bCs/>
              </w:rPr>
              <w:t xml:space="preserve"> </w:t>
            </w:r>
            <w:r w:rsidRPr="00755E83">
              <w:rPr>
                <w:bCs/>
              </w:rPr>
              <w:t>and Table 6.2.2.3-2.</w:t>
            </w:r>
          </w:p>
          <w:p w:rsidR="00755E83" w:rsidRPr="00755E83" w:rsidRDefault="00755E83" w:rsidP="00755E83">
            <w:pPr>
              <w:rPr>
                <w:bCs/>
              </w:rPr>
            </w:pPr>
            <w:r w:rsidRPr="00755E83">
              <w:rPr>
                <w:rFonts w:eastAsia="Malgun Gothic"/>
                <w:bCs/>
              </w:rPr>
              <w:t>Where</w:t>
            </w:r>
            <w:r w:rsidRPr="00755E83">
              <w:rPr>
                <w:rFonts w:eastAsia="Yu Mincho"/>
                <w:bCs/>
              </w:rPr>
              <w:t xml:space="preserve"> the </w:t>
            </w:r>
            <w:r w:rsidRPr="00755E83">
              <w:rPr>
                <w:rFonts w:eastAsia="Malgun Gothic"/>
                <w:bCs/>
              </w:rPr>
              <w:t xml:space="preserve">following parameters are defined to specify valid RB allocation ranges for </w:t>
            </w:r>
            <w:r w:rsidRPr="00755E83">
              <w:rPr>
                <w:bCs/>
              </w:rPr>
              <w:t xml:space="preserve">RB allocations in </w:t>
            </w:r>
            <w:r w:rsidRPr="00755E83">
              <w:rPr>
                <w:rFonts w:eastAsia="Malgun Gothic"/>
                <w:bCs/>
              </w:rPr>
              <w:t>Tables 6.2.2.3-1 and 6.2.2.3-2</w:t>
            </w:r>
            <w:r w:rsidRPr="00755E83">
              <w:rPr>
                <w:bCs/>
              </w:rPr>
              <w:t>:</w:t>
            </w:r>
          </w:p>
          <w:p w:rsidR="00755E83" w:rsidRPr="00755E83" w:rsidRDefault="00755E83" w:rsidP="00755E83">
            <w:pPr>
              <w:pStyle w:val="EQ"/>
              <w:jc w:val="center"/>
              <w:rPr>
                <w:bCs/>
              </w:rPr>
            </w:pPr>
            <w:r w:rsidRPr="00755E83">
              <w:rPr>
                <w:bCs/>
                <w:highlight w:val="yellow"/>
              </w:rPr>
              <w:t>RB</w:t>
            </w:r>
            <w:r w:rsidRPr="00755E83">
              <w:rPr>
                <w:bCs/>
                <w:highlight w:val="yellow"/>
                <w:vertAlign w:val="subscript"/>
              </w:rPr>
              <w:t>Start,Low</w:t>
            </w:r>
            <w:r w:rsidRPr="00755E83">
              <w:rPr>
                <w:bCs/>
                <w:highlight w:val="yellow"/>
              </w:rPr>
              <w:t xml:space="preserve"> = max(1, L</w:t>
            </w:r>
            <w:r w:rsidRPr="00755E83">
              <w:rPr>
                <w:bCs/>
                <w:highlight w:val="yellow"/>
                <w:vertAlign w:val="subscript"/>
              </w:rPr>
              <w:t>CRB</w:t>
            </w:r>
            <w:r w:rsidRPr="00755E83">
              <w:rPr>
                <w:bCs/>
                <w:highlight w:val="yellow"/>
              </w:rPr>
              <w:t>)</w:t>
            </w:r>
          </w:p>
          <w:p w:rsidR="00755E83" w:rsidRPr="00755E83" w:rsidRDefault="00755E83" w:rsidP="00755E83">
            <w:pPr>
              <w:rPr>
                <w:bCs/>
              </w:rPr>
            </w:pPr>
            <w:proofErr w:type="gramStart"/>
            <w:r w:rsidRPr="00755E83">
              <w:rPr>
                <w:bCs/>
              </w:rPr>
              <w:t>where</w:t>
            </w:r>
            <w:proofErr w:type="gramEnd"/>
            <w:r w:rsidRPr="00755E83">
              <w:rPr>
                <w:bCs/>
              </w:rPr>
              <w:t xml:space="preserve"> max() indicates the largest value of all arguments.</w:t>
            </w:r>
          </w:p>
          <w:p w:rsidR="00755E83" w:rsidRPr="00755E83" w:rsidRDefault="00755E83" w:rsidP="00755E83">
            <w:pPr>
              <w:pStyle w:val="EQ"/>
              <w:jc w:val="center"/>
              <w:rPr>
                <w:bCs/>
              </w:rPr>
            </w:pPr>
            <w:r w:rsidRPr="00755E83">
              <w:rPr>
                <w:bCs/>
                <w:highlight w:val="yellow"/>
              </w:rPr>
              <w:t>RB</w:t>
            </w:r>
            <w:r w:rsidRPr="00755E83">
              <w:rPr>
                <w:bCs/>
                <w:highlight w:val="yellow"/>
                <w:vertAlign w:val="subscript"/>
              </w:rPr>
              <w:t>Start,High</w:t>
            </w:r>
            <w:r w:rsidRPr="00755E83">
              <w:rPr>
                <w:bCs/>
                <w:highlight w:val="yellow"/>
              </w:rPr>
              <w:t xml:space="preserve"> = N</w:t>
            </w:r>
            <w:r w:rsidRPr="00755E83">
              <w:rPr>
                <w:bCs/>
                <w:highlight w:val="yellow"/>
                <w:vertAlign w:val="subscript"/>
              </w:rPr>
              <w:t>RB</w:t>
            </w:r>
            <w:r w:rsidRPr="00755E83">
              <w:rPr>
                <w:bCs/>
                <w:highlight w:val="yellow"/>
              </w:rPr>
              <w:t xml:space="preserve"> – RB</w:t>
            </w:r>
            <w:r w:rsidRPr="00755E83">
              <w:rPr>
                <w:bCs/>
                <w:highlight w:val="yellow"/>
                <w:vertAlign w:val="subscript"/>
              </w:rPr>
              <w:t>Start,Low</w:t>
            </w:r>
            <w:r w:rsidRPr="00755E83">
              <w:rPr>
                <w:bCs/>
                <w:highlight w:val="yellow"/>
              </w:rPr>
              <w:t xml:space="preserve"> – L</w:t>
            </w:r>
            <w:r w:rsidRPr="00755E83">
              <w:rPr>
                <w:bCs/>
                <w:highlight w:val="yellow"/>
                <w:vertAlign w:val="subscript"/>
              </w:rPr>
              <w:t>CRB</w:t>
            </w:r>
          </w:p>
          <w:p w:rsidR="00755E83" w:rsidRPr="00755E83" w:rsidRDefault="00755E83" w:rsidP="00755E83">
            <w:pPr>
              <w:rPr>
                <w:bCs/>
              </w:rPr>
            </w:pPr>
            <w:r w:rsidRPr="00755E83">
              <w:rPr>
                <w:bCs/>
              </w:rPr>
              <w:t xml:space="preserve">An RB allocation belonging to table 6.2.2.3-1 is a Region 1 inner RB allocation if </w:t>
            </w:r>
          </w:p>
          <w:p w:rsidR="00755E83" w:rsidRPr="00755E83" w:rsidRDefault="00755E83" w:rsidP="00755E83">
            <w:pPr>
              <w:pStyle w:val="EQ"/>
              <w:jc w:val="center"/>
              <w:rPr>
                <w:bCs/>
                <w:highlight w:val="yellow"/>
              </w:rPr>
            </w:pPr>
            <w:r w:rsidRPr="00755E83">
              <w:rPr>
                <w:bCs/>
                <w:highlight w:val="yellow"/>
              </w:rPr>
              <w:t>RB</w:t>
            </w:r>
            <w:r w:rsidRPr="00755E83">
              <w:rPr>
                <w:bCs/>
                <w:highlight w:val="yellow"/>
                <w:vertAlign w:val="subscript"/>
              </w:rPr>
              <w:t xml:space="preserve">Start,Low  </w:t>
            </w:r>
            <w:r w:rsidRPr="00755E83">
              <w:rPr>
                <w:bCs/>
                <w:highlight w:val="yellow"/>
              </w:rPr>
              <w:t>≤  RB</w:t>
            </w:r>
            <w:r w:rsidRPr="00755E83">
              <w:rPr>
                <w:bCs/>
                <w:highlight w:val="yellow"/>
                <w:vertAlign w:val="subscript"/>
              </w:rPr>
              <w:t xml:space="preserve">Start  </w:t>
            </w:r>
            <w:r w:rsidRPr="00755E83">
              <w:rPr>
                <w:bCs/>
                <w:highlight w:val="yellow"/>
              </w:rPr>
              <w:t>≤  RB</w:t>
            </w:r>
            <w:r w:rsidRPr="00755E83">
              <w:rPr>
                <w:bCs/>
                <w:highlight w:val="yellow"/>
                <w:vertAlign w:val="subscript"/>
              </w:rPr>
              <w:t>Start,High</w:t>
            </w:r>
            <w:r w:rsidRPr="00755E83">
              <w:rPr>
                <w:bCs/>
                <w:highlight w:val="yellow"/>
              </w:rPr>
              <w:t>,</w:t>
            </w:r>
            <w:r w:rsidRPr="00755E83">
              <w:rPr>
                <w:bCs/>
                <w:highlight w:val="yellow"/>
                <w:vertAlign w:val="subscript"/>
              </w:rPr>
              <w:t xml:space="preserve"> </w:t>
            </w:r>
            <w:r w:rsidRPr="00755E83">
              <w:rPr>
                <w:bCs/>
                <w:highlight w:val="yellow"/>
              </w:rPr>
              <w:t>and</w:t>
            </w:r>
          </w:p>
          <w:p w:rsidR="00755E83" w:rsidRPr="00755E83" w:rsidRDefault="00755E83" w:rsidP="00755E83">
            <w:pPr>
              <w:pStyle w:val="EQ"/>
              <w:jc w:val="center"/>
              <w:rPr>
                <w:bCs/>
              </w:rPr>
            </w:pPr>
            <w:r w:rsidRPr="00755E83">
              <w:rPr>
                <w:bCs/>
                <w:highlight w:val="yellow"/>
              </w:rPr>
              <w:t>L</w:t>
            </w:r>
            <w:r w:rsidRPr="00755E83">
              <w:rPr>
                <w:bCs/>
                <w:highlight w:val="yellow"/>
                <w:vertAlign w:val="subscript"/>
              </w:rPr>
              <w:t xml:space="preserve">CRB  </w:t>
            </w:r>
            <w:r w:rsidRPr="00755E83">
              <w:rPr>
                <w:bCs/>
                <w:highlight w:val="yellow"/>
              </w:rPr>
              <w:t>≤  ceil(N</w:t>
            </w:r>
            <w:r w:rsidRPr="00755E83">
              <w:rPr>
                <w:bCs/>
                <w:highlight w:val="yellow"/>
                <w:vertAlign w:val="subscript"/>
              </w:rPr>
              <w:t>RB</w:t>
            </w:r>
            <w:r w:rsidRPr="00755E83">
              <w:rPr>
                <w:bCs/>
                <w:highlight w:val="yellow"/>
              </w:rPr>
              <w:t>/3)</w:t>
            </w:r>
          </w:p>
          <w:p w:rsidR="00755E83" w:rsidRPr="00755E83" w:rsidRDefault="00755E83" w:rsidP="00755E83">
            <w:pPr>
              <w:rPr>
                <w:bCs/>
              </w:rPr>
            </w:pPr>
            <w:proofErr w:type="gramStart"/>
            <w:r w:rsidRPr="00755E83">
              <w:rPr>
                <w:bCs/>
              </w:rPr>
              <w:t>where</w:t>
            </w:r>
            <w:proofErr w:type="gramEnd"/>
            <w:r w:rsidRPr="00755E83">
              <w:rPr>
                <w:bCs/>
              </w:rPr>
              <w:t xml:space="preserve"> ceil(x) is the smallest integer greater than or equal to x.</w:t>
            </w:r>
          </w:p>
          <w:p w:rsidR="00755E83" w:rsidRPr="00755E83" w:rsidRDefault="00755E83" w:rsidP="00755E83">
            <w:pPr>
              <w:rPr>
                <w:bCs/>
              </w:rPr>
            </w:pPr>
            <w:r w:rsidRPr="00755E83">
              <w:rPr>
                <w:bCs/>
              </w:rPr>
              <w:t>An RB allocation is an Edge allocation if it is NOT a Region 1 inner allocation.</w:t>
            </w:r>
          </w:p>
        </w:tc>
      </w:tr>
    </w:tbl>
    <w:p w:rsidR="00000C33" w:rsidRDefault="00A80FD4" w:rsidP="00A6300F">
      <w:pPr>
        <w:jc w:val="both"/>
      </w:pPr>
      <w:r w:rsidRPr="00A80FD4">
        <w:rPr>
          <w:rFonts w:hint="eastAsia"/>
        </w:rPr>
        <w:t xml:space="preserve">The new proposed region 1 in Table 1 is a symmetric region with LCRB limited to LCRB </w:t>
      </w:r>
      <w:r w:rsidRPr="00A80FD4">
        <w:rPr>
          <w:rFonts w:hint="eastAsia"/>
        </w:rPr>
        <w:t>≤</w:t>
      </w:r>
      <w:r w:rsidRPr="00A80FD4">
        <w:rPr>
          <w:rFonts w:hint="eastAsia"/>
        </w:rPr>
        <w:t xml:space="preserve"> </w:t>
      </w:r>
      <w:proofErr w:type="gramStart"/>
      <w:r w:rsidRPr="00A80FD4">
        <w:rPr>
          <w:rFonts w:hint="eastAsia"/>
        </w:rPr>
        <w:t>ceil(</w:t>
      </w:r>
      <w:proofErr w:type="gramEnd"/>
      <w:r w:rsidRPr="00A80FD4">
        <w:rPr>
          <w:rFonts w:hint="eastAsia"/>
        </w:rPr>
        <w:t xml:space="preserve">NRB/3). This region ensures having number of unallocated RBs on each side of allocated RBs greater than or equal the number of allocated </w:t>
      </w:r>
      <w:r w:rsidRPr="00A80FD4">
        <w:rPr>
          <w:rFonts w:hint="eastAsia"/>
        </w:rPr>
        <w:lastRenderedPageBreak/>
        <w:t xml:space="preserve">RBs. These properties will </w:t>
      </w:r>
      <w:r w:rsidRPr="00A80FD4">
        <w:t>ensure having IMD3 products within the channel and OBW compliance for waveforms inside this 0dB MPR region.</w:t>
      </w:r>
    </w:p>
    <w:p w:rsidR="00000C33" w:rsidRPr="00755E83" w:rsidRDefault="00000C33" w:rsidP="00A80FD4">
      <w:pPr>
        <w:jc w:val="both"/>
        <w:rPr>
          <w:b/>
          <w:bCs/>
        </w:rPr>
      </w:pPr>
      <w:r w:rsidRPr="00755E83">
        <w:rPr>
          <w:b/>
          <w:bCs/>
        </w:rPr>
        <w:t xml:space="preserve">Observation 1: </w:t>
      </w:r>
      <w:r w:rsidR="00980E55" w:rsidRPr="00980E55">
        <w:rPr>
          <w:b/>
          <w:bCs/>
        </w:rPr>
        <w:t xml:space="preserve">The </w:t>
      </w:r>
      <w:r w:rsidR="00DD74E1">
        <w:rPr>
          <w:b/>
          <w:bCs/>
        </w:rPr>
        <w:t xml:space="preserve">new </w:t>
      </w:r>
      <w:r w:rsidR="00980E55" w:rsidRPr="00980E55">
        <w:rPr>
          <w:b/>
          <w:bCs/>
        </w:rPr>
        <w:t>proposed region</w:t>
      </w:r>
      <w:r w:rsidR="0056482C">
        <w:rPr>
          <w:b/>
          <w:bCs/>
        </w:rPr>
        <w:t xml:space="preserve"> 1</w:t>
      </w:r>
      <w:r w:rsidR="00980E55" w:rsidRPr="00980E55">
        <w:rPr>
          <w:b/>
          <w:bCs/>
        </w:rPr>
        <w:t xml:space="preserve"> in </w:t>
      </w:r>
      <w:r w:rsidR="00A6300F">
        <w:rPr>
          <w:b/>
          <w:bCs/>
        </w:rPr>
        <w:t>T</w:t>
      </w:r>
      <w:r w:rsidR="005E4A1C">
        <w:rPr>
          <w:b/>
          <w:bCs/>
        </w:rPr>
        <w:t>able 1</w:t>
      </w:r>
      <w:r w:rsidR="00980E55" w:rsidRPr="00980E55">
        <w:rPr>
          <w:b/>
          <w:bCs/>
        </w:rPr>
        <w:t xml:space="preserve"> is</w:t>
      </w:r>
      <w:r w:rsidR="00A80FD4">
        <w:rPr>
          <w:b/>
          <w:bCs/>
        </w:rPr>
        <w:t xml:space="preserve"> a</w:t>
      </w:r>
      <w:r w:rsidR="00980E55" w:rsidRPr="00980E55">
        <w:rPr>
          <w:b/>
          <w:bCs/>
        </w:rPr>
        <w:t xml:space="preserve"> symmetric region with </w:t>
      </w:r>
      <w:r w:rsidR="00A80FD4" w:rsidRPr="00980E55">
        <w:rPr>
          <w:b/>
          <w:bCs/>
        </w:rPr>
        <w:t>L</w:t>
      </w:r>
      <w:r w:rsidR="00A80FD4" w:rsidRPr="00980E55">
        <w:rPr>
          <w:b/>
          <w:bCs/>
          <w:vertAlign w:val="subscript"/>
        </w:rPr>
        <w:t xml:space="preserve">CRB </w:t>
      </w:r>
      <w:r w:rsidR="00980E55" w:rsidRPr="00980E55">
        <w:rPr>
          <w:b/>
          <w:bCs/>
        </w:rPr>
        <w:t>limit</w:t>
      </w:r>
      <w:r w:rsidR="00A80FD4">
        <w:rPr>
          <w:b/>
          <w:bCs/>
        </w:rPr>
        <w:t xml:space="preserve">ed </w:t>
      </w:r>
      <w:r w:rsidR="00980E55" w:rsidRPr="00980E55">
        <w:rPr>
          <w:b/>
          <w:bCs/>
        </w:rPr>
        <w:t>to L</w:t>
      </w:r>
      <w:r w:rsidR="00980E55" w:rsidRPr="00980E55">
        <w:rPr>
          <w:b/>
          <w:bCs/>
          <w:vertAlign w:val="subscript"/>
        </w:rPr>
        <w:t>CRB ≤</w:t>
      </w:r>
      <w:r w:rsidR="00980E55" w:rsidRPr="00980E55">
        <w:rPr>
          <w:b/>
          <w:bCs/>
        </w:rPr>
        <w:t xml:space="preserve"> </w:t>
      </w:r>
      <w:proofErr w:type="gramStart"/>
      <w:r w:rsidR="00980E55" w:rsidRPr="00980E55">
        <w:rPr>
          <w:b/>
          <w:bCs/>
        </w:rPr>
        <w:t>ceil(</w:t>
      </w:r>
      <w:proofErr w:type="gramEnd"/>
      <w:r w:rsidR="00980E55" w:rsidRPr="00980E55">
        <w:rPr>
          <w:b/>
          <w:bCs/>
        </w:rPr>
        <w:t>N</w:t>
      </w:r>
      <w:r w:rsidR="00980E55" w:rsidRPr="00980E55">
        <w:rPr>
          <w:b/>
          <w:bCs/>
          <w:vertAlign w:val="subscript"/>
        </w:rPr>
        <w:t>RB</w:t>
      </w:r>
      <w:r w:rsidR="00980E55" w:rsidRPr="00980E55">
        <w:rPr>
          <w:b/>
          <w:bCs/>
        </w:rPr>
        <w:t>/3). This region ensures having number of unallocated RBs on each side of allocated RBs greater than or equal the number of allocated RBs. These properties will ensure</w:t>
      </w:r>
      <w:r w:rsidR="00236CF0">
        <w:rPr>
          <w:b/>
          <w:bCs/>
        </w:rPr>
        <w:t xml:space="preserve"> having IMD3 products within the channel and </w:t>
      </w:r>
      <w:r w:rsidR="00980E55" w:rsidRPr="00980E55">
        <w:rPr>
          <w:b/>
          <w:bCs/>
        </w:rPr>
        <w:t>OBW compliance for waveforms inside this 0dB MPR region.</w:t>
      </w:r>
    </w:p>
    <w:p w:rsidR="00E006CE" w:rsidRDefault="003C37F2" w:rsidP="003C37F2">
      <w:pPr>
        <w:rPr>
          <w:lang w:eastAsia="ja-JP" w:bidi="hi-IN"/>
        </w:rPr>
      </w:pPr>
      <w:r>
        <w:rPr>
          <w:lang w:eastAsia="ja-JP" w:bidi="hi-IN"/>
        </w:rPr>
        <w:t>Next, we do simulations for FR2 PC3 MPR to check if this new proposed 0dB MPR region is compliant with IBE, EVM, and SEM.</w:t>
      </w:r>
      <w:r w:rsidR="00E006CE">
        <w:rPr>
          <w:lang w:eastAsia="ja-JP" w:bidi="hi-IN"/>
        </w:rPr>
        <w:t xml:space="preserve"> </w:t>
      </w:r>
      <w:r>
        <w:rPr>
          <w:lang w:eastAsia="ja-JP" w:bidi="hi-IN"/>
        </w:rPr>
        <w:t>W</w:t>
      </w:r>
      <w:r w:rsidR="00E006CE">
        <w:rPr>
          <w:lang w:eastAsia="ja-JP" w:bidi="hi-IN"/>
        </w:rPr>
        <w:t>e use the following assumptions</w:t>
      </w:r>
      <w:r>
        <w:rPr>
          <w:lang w:eastAsia="ja-JP" w:bidi="hi-IN"/>
        </w:rPr>
        <w:t>:</w:t>
      </w:r>
    </w:p>
    <w:p w:rsidR="00E006CE" w:rsidRDefault="00E006CE" w:rsidP="00E006CE">
      <w:pPr>
        <w:numPr>
          <w:ilvl w:val="0"/>
          <w:numId w:val="4"/>
        </w:numPr>
        <w:rPr>
          <w:lang w:eastAsia="ja-JP" w:bidi="hi-IN"/>
        </w:rPr>
      </w:pPr>
      <w:r>
        <w:rPr>
          <w:lang w:eastAsia="ja-JP" w:bidi="hi-IN"/>
        </w:rPr>
        <w:t>BW &lt;= 200MHz</w:t>
      </w:r>
    </w:p>
    <w:p w:rsidR="00E006CE" w:rsidRDefault="00E006CE" w:rsidP="00E006CE">
      <w:pPr>
        <w:numPr>
          <w:ilvl w:val="0"/>
          <w:numId w:val="4"/>
        </w:numPr>
        <w:rPr>
          <w:lang w:eastAsia="ja-JP" w:bidi="hi-IN"/>
        </w:rPr>
      </w:pPr>
      <w:r>
        <w:rPr>
          <w:lang w:val="en-US" w:eastAsia="ja-JP" w:bidi="hi-IN"/>
        </w:rPr>
        <w:t>60kHz SCS and 120kHz SCS</w:t>
      </w:r>
    </w:p>
    <w:p w:rsidR="00E006CE" w:rsidRDefault="00E006CE" w:rsidP="00163B3B">
      <w:pPr>
        <w:numPr>
          <w:ilvl w:val="0"/>
          <w:numId w:val="4"/>
        </w:numPr>
        <w:rPr>
          <w:lang w:val="en-US" w:eastAsia="ja-JP" w:bidi="hi-IN"/>
        </w:rPr>
      </w:pPr>
      <w:r>
        <w:rPr>
          <w:lang w:val="en-US" w:eastAsia="ja-JP" w:bidi="hi-IN"/>
        </w:rPr>
        <w:t>DFT-s-OFDM P</w:t>
      </w:r>
      <w:r w:rsidR="00163B3B">
        <w:rPr>
          <w:lang w:val="en-US" w:eastAsia="ja-JP" w:bidi="hi-IN"/>
        </w:rPr>
        <w:t>I</w:t>
      </w:r>
      <w:r>
        <w:rPr>
          <w:lang w:val="en-US" w:eastAsia="ja-JP" w:bidi="hi-IN"/>
        </w:rPr>
        <w:t>/2 BPSK and DFT-s-OFDM QPSK</w:t>
      </w:r>
    </w:p>
    <w:p w:rsidR="00E006CE" w:rsidRDefault="00E006CE" w:rsidP="00E006CE">
      <w:pPr>
        <w:numPr>
          <w:ilvl w:val="0"/>
          <w:numId w:val="4"/>
        </w:numPr>
        <w:rPr>
          <w:lang w:val="en-US" w:eastAsia="ja-JP" w:bidi="hi-IN"/>
        </w:rPr>
      </w:pPr>
      <w:r>
        <w:rPr>
          <w:lang w:val="en-US" w:eastAsia="ja-JP" w:bidi="hi-IN"/>
        </w:rPr>
        <w:t>Carrier leakage of -25dBc</w:t>
      </w:r>
    </w:p>
    <w:p w:rsidR="00E006CE" w:rsidRDefault="00E006CE" w:rsidP="00E006CE">
      <w:pPr>
        <w:numPr>
          <w:ilvl w:val="0"/>
          <w:numId w:val="4"/>
        </w:numPr>
        <w:rPr>
          <w:lang w:val="en-US" w:eastAsia="ja-JP" w:bidi="hi-IN"/>
        </w:rPr>
      </w:pPr>
      <w:r>
        <w:rPr>
          <w:lang w:val="en-US" w:eastAsia="ja-JP" w:bidi="hi-IN"/>
        </w:rPr>
        <w:t>IQ image of -25dBc</w:t>
      </w:r>
    </w:p>
    <w:p w:rsidR="00E006CE" w:rsidRPr="00705962" w:rsidRDefault="00E006CE" w:rsidP="00E006CE">
      <w:pPr>
        <w:numPr>
          <w:ilvl w:val="0"/>
          <w:numId w:val="4"/>
        </w:numPr>
        <w:rPr>
          <w:lang w:val="en-US" w:eastAsia="ja-JP" w:bidi="hi-IN"/>
        </w:rPr>
      </w:pPr>
      <w:r>
        <w:rPr>
          <w:lang w:val="en-US" w:eastAsia="ja-JP" w:bidi="hi-IN"/>
        </w:rPr>
        <w:t>Counter IM3 of -65dBc</w:t>
      </w:r>
    </w:p>
    <w:p w:rsidR="00000C33" w:rsidRDefault="007E00BA" w:rsidP="007E00BA">
      <w:pPr>
        <w:jc w:val="both"/>
      </w:pPr>
      <w:r>
        <w:t>In figure 1, we show FR2 PC3 MPR result for DFT-s-OFDM QPSK with 200 MHz BW and 120 kHz SCS.</w:t>
      </w:r>
      <w:r w:rsidR="005818C7">
        <w:t xml:space="preserve"> </w:t>
      </w:r>
      <w:r w:rsidR="00DD74E1">
        <w:t>It is observed that the new proposed</w:t>
      </w:r>
      <w:r w:rsidR="00025F83">
        <w:t xml:space="preserve"> region 1</w:t>
      </w:r>
      <w:r w:rsidR="00DD74E1">
        <w:t xml:space="preserve"> </w:t>
      </w:r>
      <w:r w:rsidR="00025F83">
        <w:t xml:space="preserve">has 0dB MPR. </w:t>
      </w:r>
      <w:r w:rsidR="005818C7">
        <w:t>The complete set of simulation results are presented in Appendix</w:t>
      </w:r>
      <w:r w:rsidR="00025F83">
        <w:t xml:space="preserve"> which show the same observation</w:t>
      </w:r>
      <w:r w:rsidR="005818C7">
        <w:t>.</w:t>
      </w:r>
      <w:r w:rsidR="00025F83">
        <w:t xml:space="preserve"> Therefore, we propose to extend the 0dB MPR region for FR2 PC3 as in Table 1.</w:t>
      </w:r>
    </w:p>
    <w:p w:rsidR="00025F83" w:rsidRPr="00755E83" w:rsidRDefault="00025F83" w:rsidP="00E65A2E">
      <w:pPr>
        <w:jc w:val="both"/>
        <w:rPr>
          <w:b/>
          <w:bCs/>
        </w:rPr>
      </w:pPr>
      <w:r w:rsidRPr="00755E83">
        <w:rPr>
          <w:b/>
          <w:bCs/>
        </w:rPr>
        <w:t xml:space="preserve">Observation </w:t>
      </w:r>
      <w:r>
        <w:rPr>
          <w:b/>
          <w:bCs/>
        </w:rPr>
        <w:t>2</w:t>
      </w:r>
      <w:r w:rsidRPr="00755E83">
        <w:rPr>
          <w:b/>
          <w:bCs/>
        </w:rPr>
        <w:t xml:space="preserve">: </w:t>
      </w:r>
      <w:r w:rsidR="00E65A2E">
        <w:rPr>
          <w:b/>
          <w:bCs/>
        </w:rPr>
        <w:t>Based on simulation results, t</w:t>
      </w:r>
      <w:r w:rsidRPr="00980E55">
        <w:rPr>
          <w:b/>
          <w:bCs/>
        </w:rPr>
        <w:t xml:space="preserve">he </w:t>
      </w:r>
      <w:r>
        <w:rPr>
          <w:b/>
          <w:bCs/>
        </w:rPr>
        <w:t xml:space="preserve">new </w:t>
      </w:r>
      <w:r w:rsidRPr="00980E55">
        <w:rPr>
          <w:b/>
          <w:bCs/>
        </w:rPr>
        <w:t xml:space="preserve">proposed </w:t>
      </w:r>
      <w:r>
        <w:rPr>
          <w:b/>
          <w:bCs/>
        </w:rPr>
        <w:t>region 1</w:t>
      </w:r>
      <w:r w:rsidRPr="00980E55">
        <w:rPr>
          <w:b/>
          <w:bCs/>
        </w:rPr>
        <w:t xml:space="preserve"> in </w:t>
      </w:r>
      <w:r w:rsidR="00672CF8">
        <w:rPr>
          <w:b/>
          <w:bCs/>
        </w:rPr>
        <w:t>Table 1</w:t>
      </w:r>
      <w:r w:rsidRPr="00980E55">
        <w:rPr>
          <w:b/>
          <w:bCs/>
        </w:rPr>
        <w:t xml:space="preserve"> has </w:t>
      </w:r>
      <w:r>
        <w:rPr>
          <w:b/>
          <w:bCs/>
        </w:rPr>
        <w:t>0dB MPR</w:t>
      </w:r>
      <w:r w:rsidRPr="00980E55">
        <w:rPr>
          <w:b/>
          <w:bCs/>
        </w:rPr>
        <w:t>.</w:t>
      </w:r>
    </w:p>
    <w:p w:rsidR="00025F83" w:rsidRPr="00025F83" w:rsidRDefault="00025F83" w:rsidP="00025F83">
      <w:pPr>
        <w:jc w:val="both"/>
        <w:rPr>
          <w:b/>
          <w:bCs/>
        </w:rPr>
      </w:pPr>
      <w:r>
        <w:rPr>
          <w:b/>
          <w:bCs/>
        </w:rPr>
        <w:t>Proposal</w:t>
      </w:r>
      <w:r w:rsidRPr="00755E83">
        <w:rPr>
          <w:b/>
          <w:bCs/>
        </w:rPr>
        <w:t xml:space="preserve"> </w:t>
      </w:r>
      <w:r>
        <w:rPr>
          <w:b/>
          <w:bCs/>
        </w:rPr>
        <w:t>1</w:t>
      </w:r>
      <w:r w:rsidRPr="00755E83">
        <w:rPr>
          <w:b/>
          <w:bCs/>
        </w:rPr>
        <w:t xml:space="preserve">: </w:t>
      </w:r>
      <w:r>
        <w:rPr>
          <w:b/>
          <w:bCs/>
        </w:rPr>
        <w:t>For FR2 PC3 with BW ≤ 200MHz, MPR region 1</w:t>
      </w:r>
      <w:r w:rsidRPr="00980E55">
        <w:rPr>
          <w:b/>
          <w:bCs/>
        </w:rPr>
        <w:t xml:space="preserve"> i</w:t>
      </w:r>
      <w:r>
        <w:rPr>
          <w:b/>
          <w:bCs/>
        </w:rPr>
        <w:t>s</w:t>
      </w:r>
      <w:r w:rsidRPr="00980E55">
        <w:rPr>
          <w:b/>
          <w:bCs/>
        </w:rPr>
        <w:t xml:space="preserve"> </w:t>
      </w:r>
      <w:r>
        <w:rPr>
          <w:b/>
          <w:bCs/>
        </w:rPr>
        <w:t>extended as in Table 1.</w:t>
      </w:r>
    </w:p>
    <w:tbl>
      <w:tblPr>
        <w:tblW w:w="0" w:type="auto"/>
        <w:tblLook w:val="04A0" w:firstRow="1" w:lastRow="0" w:firstColumn="1" w:lastColumn="0" w:noHBand="0" w:noVBand="1"/>
      </w:tblPr>
      <w:tblGrid>
        <w:gridCol w:w="9629"/>
      </w:tblGrid>
      <w:tr w:rsidR="00DA10E7" w:rsidTr="00844D72">
        <w:tc>
          <w:tcPr>
            <w:tcW w:w="9629" w:type="dxa"/>
            <w:shd w:val="clear" w:color="auto" w:fill="auto"/>
          </w:tcPr>
          <w:p w:rsidR="00DA10E7" w:rsidRPr="00791040" w:rsidRDefault="00306BE6" w:rsidP="00DC008D">
            <w:pPr>
              <w:spacing w:before="0" w:after="0"/>
              <w:jc w:val="center"/>
              <w:rPr>
                <w:highlight w:val="yellow"/>
              </w:rPr>
            </w:pPr>
            <w:r>
              <w:rPr>
                <w:noProof/>
                <w:lang w:val="en-US"/>
              </w:rPr>
              <w:drawing>
                <wp:inline distT="0" distB="0" distL="0" distR="0">
                  <wp:extent cx="3824790" cy="2868493"/>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dB MPR Region.bmp"/>
                          <pic:cNvPicPr/>
                        </pic:nvPicPr>
                        <pic:blipFill>
                          <a:blip r:embed="rId7">
                            <a:extLst>
                              <a:ext uri="{28A0092B-C50C-407E-A947-70E740481C1C}">
                                <a14:useLocalDpi xmlns:a14="http://schemas.microsoft.com/office/drawing/2010/main" val="0"/>
                              </a:ext>
                            </a:extLst>
                          </a:blip>
                          <a:stretch>
                            <a:fillRect/>
                          </a:stretch>
                        </pic:blipFill>
                        <pic:spPr>
                          <a:xfrm>
                            <a:off x="0" y="0"/>
                            <a:ext cx="3842349" cy="2881662"/>
                          </a:xfrm>
                          <a:prstGeom prst="rect">
                            <a:avLst/>
                          </a:prstGeom>
                        </pic:spPr>
                      </pic:pic>
                    </a:graphicData>
                  </a:graphic>
                </wp:inline>
              </w:drawing>
            </w:r>
          </w:p>
        </w:tc>
      </w:tr>
      <w:tr w:rsidR="0057502A" w:rsidTr="00844D72">
        <w:tc>
          <w:tcPr>
            <w:tcW w:w="9629" w:type="dxa"/>
            <w:shd w:val="clear" w:color="auto" w:fill="auto"/>
          </w:tcPr>
          <w:p w:rsidR="0057502A" w:rsidRDefault="0057502A" w:rsidP="0057502A">
            <w:pPr>
              <w:spacing w:before="0" w:after="0"/>
              <w:jc w:val="center"/>
              <w:rPr>
                <w:noProof/>
                <w:lang w:val="en-US"/>
              </w:rPr>
            </w:pPr>
            <w:r>
              <w:rPr>
                <w:noProof/>
                <w:lang w:val="en-US"/>
              </w:rPr>
              <w:t xml:space="preserve">Figure 1: </w:t>
            </w:r>
            <w:r w:rsidR="005A01E0">
              <w:rPr>
                <w:noProof/>
                <w:lang w:val="en-US"/>
              </w:rPr>
              <w:t xml:space="preserve">FR2 PC3 </w:t>
            </w:r>
            <w:r>
              <w:rPr>
                <w:noProof/>
                <w:lang w:val="en-US"/>
              </w:rPr>
              <w:t xml:space="preserve">MPR for BW = </w:t>
            </w:r>
            <w:r>
              <w:rPr>
                <w:sz w:val="18"/>
              </w:rPr>
              <w:t xml:space="preserve">100MHz, SCS = </w:t>
            </w:r>
            <w:r w:rsidR="005A01E0">
              <w:rPr>
                <w:sz w:val="18"/>
              </w:rPr>
              <w:t>1</w:t>
            </w:r>
            <w:r>
              <w:rPr>
                <w:sz w:val="18"/>
              </w:rPr>
              <w:t>20kHz, DFT-s-OFDM QPSK</w:t>
            </w:r>
          </w:p>
        </w:tc>
      </w:tr>
    </w:tbl>
    <w:p w:rsidR="008E5439" w:rsidRDefault="008E5439" w:rsidP="008E5439">
      <w:pPr>
        <w:pStyle w:val="Heading2"/>
      </w:pPr>
      <w:r>
        <w:t xml:space="preserve"> Relaxing IBE requirements to enable power boosting</w:t>
      </w:r>
    </w:p>
    <w:p w:rsidR="0090000E" w:rsidRDefault="00E65A2E" w:rsidP="0090000E">
      <w:pPr>
        <w:jc w:val="both"/>
      </w:pPr>
      <w:r>
        <w:t>The second potential improvement for FR2 PC3 MPR</w:t>
      </w:r>
      <w:r w:rsidR="00FB32E0">
        <w:t xml:space="preserve"> is to enable power boosting by relaxing IBE requi</w:t>
      </w:r>
      <w:r w:rsidR="00AF61E3">
        <w:t>re</w:t>
      </w:r>
      <w:r w:rsidR="00FB32E0">
        <w:t>ments.</w:t>
      </w:r>
      <w:r w:rsidR="00AF61E3">
        <w:t xml:space="preserve"> </w:t>
      </w:r>
      <w:r w:rsidR="00BE498D">
        <w:t xml:space="preserve">However, </w:t>
      </w:r>
      <w:r w:rsidR="0090000E">
        <w:t>IBE relaxation</w:t>
      </w:r>
      <w:r w:rsidR="002E2870">
        <w:t xml:space="preserve"> can enable</w:t>
      </w:r>
      <w:r w:rsidR="0090000E">
        <w:t xml:space="preserve"> power boosting for 0dB MPR waveforms that are IBE limited</w:t>
      </w:r>
      <w:r w:rsidR="00977A4C">
        <w:t xml:space="preserve"> only</w:t>
      </w:r>
      <w:r w:rsidR="0090000E">
        <w:t>.</w:t>
      </w:r>
    </w:p>
    <w:p w:rsidR="0090000E" w:rsidRPr="00755E83" w:rsidRDefault="0090000E" w:rsidP="0057502A">
      <w:pPr>
        <w:jc w:val="both"/>
        <w:rPr>
          <w:b/>
          <w:bCs/>
        </w:rPr>
      </w:pPr>
      <w:r w:rsidRPr="00755E83">
        <w:rPr>
          <w:b/>
          <w:bCs/>
        </w:rPr>
        <w:t xml:space="preserve">Observation </w:t>
      </w:r>
      <w:r w:rsidR="0057502A">
        <w:rPr>
          <w:b/>
          <w:bCs/>
        </w:rPr>
        <w:t>3</w:t>
      </w:r>
      <w:r w:rsidRPr="00755E83">
        <w:rPr>
          <w:b/>
          <w:bCs/>
        </w:rPr>
        <w:t xml:space="preserve">: </w:t>
      </w:r>
      <w:r w:rsidRPr="00C6645A">
        <w:rPr>
          <w:b/>
          <w:bCs/>
        </w:rPr>
        <w:t xml:space="preserve">IBE relaxation </w:t>
      </w:r>
      <w:r w:rsidR="002E2870">
        <w:rPr>
          <w:b/>
          <w:bCs/>
        </w:rPr>
        <w:t>can enable</w:t>
      </w:r>
      <w:r w:rsidRPr="00C6645A">
        <w:rPr>
          <w:b/>
          <w:bCs/>
        </w:rPr>
        <w:t xml:space="preserve"> power boosting for 0dB MPR waveforms that are IBE limited</w:t>
      </w:r>
      <w:r w:rsidR="00977A4C">
        <w:rPr>
          <w:b/>
          <w:bCs/>
        </w:rPr>
        <w:t xml:space="preserve"> only</w:t>
      </w:r>
      <w:r w:rsidRPr="00C6645A">
        <w:rPr>
          <w:b/>
          <w:bCs/>
        </w:rPr>
        <w:t>.</w:t>
      </w:r>
    </w:p>
    <w:p w:rsidR="00A47109" w:rsidRDefault="00B2257A" w:rsidP="00DB5D7A">
      <w:pPr>
        <w:jc w:val="both"/>
      </w:pPr>
      <w:r>
        <w:t xml:space="preserve">In </w:t>
      </w:r>
      <w:r w:rsidR="0071289A">
        <w:t>Table 2</w:t>
      </w:r>
      <w:r>
        <w:t>, we evaluate the RF requirements for two waveforms inside the 0dB MPR region (region 1)</w:t>
      </w:r>
      <w:r w:rsidR="00DB5D7A">
        <w:t xml:space="preserve">. </w:t>
      </w:r>
      <w:r w:rsidR="00A47109">
        <w:t>These two waveforms belong to the current and new proposed 0dB MPR region.</w:t>
      </w:r>
      <w:r w:rsidR="0024543E">
        <w:t xml:space="preserve"> From results in Table 2, we observe the following:</w:t>
      </w:r>
    </w:p>
    <w:p w:rsidR="00E9064D" w:rsidRDefault="00E9064D" w:rsidP="00A47109">
      <w:pPr>
        <w:jc w:val="both"/>
      </w:pPr>
    </w:p>
    <w:p w:rsidR="00E9064D" w:rsidRDefault="00E9064D" w:rsidP="00A47109">
      <w:pPr>
        <w:jc w:val="both"/>
      </w:pPr>
    </w:p>
    <w:p w:rsidR="00E9064D" w:rsidRDefault="00E9064D" w:rsidP="00A47109">
      <w:pPr>
        <w:jc w:val="both"/>
      </w:pPr>
    </w:p>
    <w:p w:rsidR="00E9064D" w:rsidRDefault="00E9064D" w:rsidP="00A47109">
      <w:pPr>
        <w:jc w:val="both"/>
      </w:pPr>
    </w:p>
    <w:tbl>
      <w:tblPr>
        <w:tblStyle w:val="TableGrid"/>
        <w:tblW w:w="10260" w:type="dxa"/>
        <w:tblInd w:w="-275" w:type="dxa"/>
        <w:tblLook w:val="04A0" w:firstRow="1" w:lastRow="0" w:firstColumn="1" w:lastColumn="0" w:noHBand="0" w:noVBand="1"/>
      </w:tblPr>
      <w:tblGrid>
        <w:gridCol w:w="2913"/>
        <w:gridCol w:w="954"/>
        <w:gridCol w:w="1192"/>
        <w:gridCol w:w="866"/>
        <w:gridCol w:w="1393"/>
        <w:gridCol w:w="1322"/>
        <w:gridCol w:w="1620"/>
      </w:tblGrid>
      <w:tr w:rsidR="00A47109" w:rsidTr="001B417D">
        <w:tc>
          <w:tcPr>
            <w:tcW w:w="2913" w:type="dxa"/>
          </w:tcPr>
          <w:p w:rsidR="00A47109" w:rsidRDefault="00A47109" w:rsidP="00A47109">
            <w:pPr>
              <w:jc w:val="both"/>
            </w:pPr>
            <w:r>
              <w:lastRenderedPageBreak/>
              <w:t>Waveform</w:t>
            </w:r>
          </w:p>
        </w:tc>
        <w:tc>
          <w:tcPr>
            <w:tcW w:w="954" w:type="dxa"/>
          </w:tcPr>
          <w:p w:rsidR="00A47109" w:rsidRDefault="00A47109" w:rsidP="00A47109">
            <w:pPr>
              <w:jc w:val="both"/>
            </w:pPr>
            <w:r>
              <w:t>TRP</w:t>
            </w:r>
          </w:p>
        </w:tc>
        <w:tc>
          <w:tcPr>
            <w:tcW w:w="1192" w:type="dxa"/>
          </w:tcPr>
          <w:p w:rsidR="00A47109" w:rsidRDefault="00A47109" w:rsidP="00A47109">
            <w:pPr>
              <w:jc w:val="both"/>
            </w:pPr>
            <w:r>
              <w:t>IBE margin</w:t>
            </w:r>
          </w:p>
        </w:tc>
        <w:tc>
          <w:tcPr>
            <w:tcW w:w="866" w:type="dxa"/>
          </w:tcPr>
          <w:p w:rsidR="00A47109" w:rsidRDefault="00A47109" w:rsidP="00A47109">
            <w:pPr>
              <w:jc w:val="both"/>
            </w:pPr>
            <w:r>
              <w:t>EVM</w:t>
            </w:r>
          </w:p>
        </w:tc>
        <w:tc>
          <w:tcPr>
            <w:tcW w:w="1393" w:type="dxa"/>
          </w:tcPr>
          <w:p w:rsidR="00A47109" w:rsidRDefault="00A47109" w:rsidP="00A47109">
            <w:pPr>
              <w:jc w:val="both"/>
            </w:pPr>
            <w:r>
              <w:t>ACLR margin</w:t>
            </w:r>
          </w:p>
        </w:tc>
        <w:tc>
          <w:tcPr>
            <w:tcW w:w="1322" w:type="dxa"/>
          </w:tcPr>
          <w:p w:rsidR="00A47109" w:rsidRDefault="00A47109" w:rsidP="00A47109">
            <w:pPr>
              <w:jc w:val="both"/>
            </w:pPr>
            <w:r>
              <w:t>SEM margin</w:t>
            </w:r>
          </w:p>
        </w:tc>
        <w:tc>
          <w:tcPr>
            <w:tcW w:w="1620" w:type="dxa"/>
          </w:tcPr>
          <w:p w:rsidR="00A47109" w:rsidRDefault="00341CF2" w:rsidP="00341CF2">
            <w:pPr>
              <w:jc w:val="both"/>
            </w:pPr>
            <w:r>
              <w:t xml:space="preserve">% </w:t>
            </w:r>
            <w:r w:rsidR="00A47109">
              <w:t>Power in CBW</w:t>
            </w:r>
          </w:p>
        </w:tc>
      </w:tr>
      <w:tr w:rsidR="00E9064D" w:rsidTr="001B417D">
        <w:tc>
          <w:tcPr>
            <w:tcW w:w="2913" w:type="dxa"/>
            <w:vMerge w:val="restart"/>
          </w:tcPr>
          <w:p w:rsidR="00E9064D" w:rsidRDefault="00E9064D" w:rsidP="00A47109">
            <w:pPr>
              <w:jc w:val="both"/>
            </w:pPr>
            <w:r w:rsidRPr="00A47109">
              <w:t>BW = 100 MHz, SCS = 120 kHz, DFT-S-OFDM QPSK, 20RB23</w:t>
            </w:r>
            <w:r>
              <w:t xml:space="preserve"> (reference waveform)</w:t>
            </w:r>
          </w:p>
        </w:tc>
        <w:tc>
          <w:tcPr>
            <w:tcW w:w="954" w:type="dxa"/>
          </w:tcPr>
          <w:p w:rsidR="00E9064D" w:rsidRPr="00187535" w:rsidRDefault="00E9064D" w:rsidP="00A47109">
            <w:pPr>
              <w:jc w:val="both"/>
              <w:rPr>
                <w:b/>
                <w:bCs/>
              </w:rPr>
            </w:pPr>
            <w:r w:rsidRPr="00187535">
              <w:rPr>
                <w:b/>
                <w:bCs/>
              </w:rPr>
              <w:t>23dBm</w:t>
            </w:r>
          </w:p>
        </w:tc>
        <w:tc>
          <w:tcPr>
            <w:tcW w:w="1192" w:type="dxa"/>
          </w:tcPr>
          <w:p w:rsidR="00E9064D" w:rsidRPr="00187535" w:rsidRDefault="00116417" w:rsidP="004D6F90">
            <w:pPr>
              <w:jc w:val="both"/>
              <w:rPr>
                <w:b/>
                <w:bCs/>
                <w:color w:val="00B050"/>
              </w:rPr>
            </w:pPr>
            <w:r w:rsidRPr="00187535">
              <w:rPr>
                <w:b/>
                <w:bCs/>
                <w:color w:val="00B050"/>
              </w:rPr>
              <w:t>2.</w:t>
            </w:r>
            <w:r w:rsidR="004D6F90" w:rsidRPr="00187535">
              <w:rPr>
                <w:b/>
                <w:bCs/>
                <w:color w:val="00B050"/>
              </w:rPr>
              <w:t>24</w:t>
            </w:r>
            <w:r w:rsidR="00E9064D" w:rsidRPr="00187535">
              <w:rPr>
                <w:b/>
                <w:bCs/>
                <w:color w:val="00B050"/>
              </w:rPr>
              <w:t>dB</w:t>
            </w:r>
          </w:p>
        </w:tc>
        <w:tc>
          <w:tcPr>
            <w:tcW w:w="866" w:type="dxa"/>
          </w:tcPr>
          <w:p w:rsidR="00E9064D" w:rsidRPr="00187535" w:rsidRDefault="00116417" w:rsidP="00A47109">
            <w:pPr>
              <w:jc w:val="both"/>
              <w:rPr>
                <w:b/>
                <w:bCs/>
                <w:color w:val="00B050"/>
              </w:rPr>
            </w:pPr>
            <w:r w:rsidRPr="00187535">
              <w:rPr>
                <w:b/>
                <w:bCs/>
                <w:color w:val="00B050"/>
              </w:rPr>
              <w:t>14.25</w:t>
            </w:r>
            <w:r w:rsidR="00E9064D" w:rsidRPr="00187535">
              <w:rPr>
                <w:b/>
                <w:bCs/>
                <w:color w:val="00B050"/>
              </w:rPr>
              <w:t>%</w:t>
            </w:r>
          </w:p>
        </w:tc>
        <w:tc>
          <w:tcPr>
            <w:tcW w:w="1393" w:type="dxa"/>
          </w:tcPr>
          <w:p w:rsidR="00E9064D" w:rsidRPr="00187535" w:rsidRDefault="00E9064D" w:rsidP="00116417">
            <w:pPr>
              <w:jc w:val="both"/>
              <w:rPr>
                <w:b/>
                <w:bCs/>
                <w:color w:val="00B050"/>
              </w:rPr>
            </w:pPr>
            <w:r w:rsidRPr="00187535">
              <w:rPr>
                <w:b/>
                <w:bCs/>
                <w:color w:val="00B050"/>
              </w:rPr>
              <w:t>26.</w:t>
            </w:r>
            <w:r w:rsidR="00116417" w:rsidRPr="00187535">
              <w:rPr>
                <w:b/>
                <w:bCs/>
                <w:color w:val="00B050"/>
              </w:rPr>
              <w:t>57</w:t>
            </w:r>
            <w:r w:rsidRPr="00187535">
              <w:rPr>
                <w:b/>
                <w:bCs/>
                <w:color w:val="00B050"/>
              </w:rPr>
              <w:t>dB</w:t>
            </w:r>
          </w:p>
        </w:tc>
        <w:tc>
          <w:tcPr>
            <w:tcW w:w="1322" w:type="dxa"/>
          </w:tcPr>
          <w:p w:rsidR="00E9064D" w:rsidRPr="00187535" w:rsidRDefault="00116417" w:rsidP="00A47109">
            <w:pPr>
              <w:jc w:val="both"/>
              <w:rPr>
                <w:b/>
                <w:bCs/>
                <w:color w:val="00B050"/>
              </w:rPr>
            </w:pPr>
            <w:r w:rsidRPr="00187535">
              <w:rPr>
                <w:b/>
                <w:bCs/>
                <w:color w:val="00B050"/>
              </w:rPr>
              <w:t>18.79</w:t>
            </w:r>
            <w:r w:rsidR="00E9064D" w:rsidRPr="00187535">
              <w:rPr>
                <w:b/>
                <w:bCs/>
                <w:color w:val="00B050"/>
              </w:rPr>
              <w:t>dB</w:t>
            </w:r>
          </w:p>
        </w:tc>
        <w:tc>
          <w:tcPr>
            <w:tcW w:w="1620" w:type="dxa"/>
          </w:tcPr>
          <w:p w:rsidR="00E9064D" w:rsidRPr="00187535" w:rsidRDefault="00E9064D" w:rsidP="00A47109">
            <w:pPr>
              <w:jc w:val="both"/>
              <w:rPr>
                <w:b/>
                <w:bCs/>
                <w:color w:val="00B050"/>
              </w:rPr>
            </w:pPr>
            <w:r w:rsidRPr="00187535">
              <w:rPr>
                <w:b/>
                <w:bCs/>
                <w:color w:val="00B050"/>
              </w:rPr>
              <w:t>99.99%</w:t>
            </w:r>
          </w:p>
        </w:tc>
      </w:tr>
      <w:tr w:rsidR="00E9064D" w:rsidTr="001B417D">
        <w:tc>
          <w:tcPr>
            <w:tcW w:w="2913" w:type="dxa"/>
            <w:vMerge/>
          </w:tcPr>
          <w:p w:rsidR="00E9064D" w:rsidRPr="00A47109" w:rsidRDefault="00E9064D" w:rsidP="00A47109">
            <w:pPr>
              <w:jc w:val="both"/>
            </w:pPr>
          </w:p>
        </w:tc>
        <w:tc>
          <w:tcPr>
            <w:tcW w:w="954" w:type="dxa"/>
          </w:tcPr>
          <w:p w:rsidR="00E9064D" w:rsidRPr="00187535" w:rsidRDefault="00E9064D" w:rsidP="00A47109">
            <w:pPr>
              <w:jc w:val="both"/>
              <w:rPr>
                <w:b/>
                <w:bCs/>
              </w:rPr>
            </w:pPr>
            <w:r w:rsidRPr="00187535">
              <w:rPr>
                <w:b/>
                <w:bCs/>
              </w:rPr>
              <w:t>24dBm</w:t>
            </w:r>
          </w:p>
        </w:tc>
        <w:tc>
          <w:tcPr>
            <w:tcW w:w="1192" w:type="dxa"/>
          </w:tcPr>
          <w:p w:rsidR="00E9064D" w:rsidRPr="00187535" w:rsidRDefault="00E9064D" w:rsidP="004D6F90">
            <w:pPr>
              <w:jc w:val="both"/>
              <w:rPr>
                <w:b/>
                <w:bCs/>
              </w:rPr>
            </w:pPr>
            <w:r w:rsidRPr="00187535">
              <w:rPr>
                <w:b/>
                <w:bCs/>
                <w:color w:val="FF0000"/>
              </w:rPr>
              <w:t>-0.</w:t>
            </w:r>
            <w:r w:rsidR="004D6F90" w:rsidRPr="00187535">
              <w:rPr>
                <w:b/>
                <w:bCs/>
                <w:color w:val="FF0000"/>
              </w:rPr>
              <w:t>28</w:t>
            </w:r>
            <w:r w:rsidRPr="00187535">
              <w:rPr>
                <w:b/>
                <w:bCs/>
                <w:color w:val="FF0000"/>
              </w:rPr>
              <w:t>dB</w:t>
            </w:r>
          </w:p>
        </w:tc>
        <w:tc>
          <w:tcPr>
            <w:tcW w:w="866" w:type="dxa"/>
          </w:tcPr>
          <w:p w:rsidR="00E9064D" w:rsidRPr="00187535" w:rsidRDefault="00116417" w:rsidP="00A47109">
            <w:pPr>
              <w:jc w:val="both"/>
              <w:rPr>
                <w:b/>
                <w:bCs/>
                <w:color w:val="FF0000"/>
              </w:rPr>
            </w:pPr>
            <w:r w:rsidRPr="00187535">
              <w:rPr>
                <w:b/>
                <w:bCs/>
                <w:color w:val="FF0000"/>
              </w:rPr>
              <w:t>17.88</w:t>
            </w:r>
            <w:r w:rsidR="00E9064D" w:rsidRPr="00187535">
              <w:rPr>
                <w:b/>
                <w:bCs/>
                <w:color w:val="FF0000"/>
              </w:rPr>
              <w:t>%</w:t>
            </w:r>
          </w:p>
        </w:tc>
        <w:tc>
          <w:tcPr>
            <w:tcW w:w="1393" w:type="dxa"/>
          </w:tcPr>
          <w:p w:rsidR="00E9064D" w:rsidRPr="00187535" w:rsidRDefault="00E9064D" w:rsidP="00116417">
            <w:pPr>
              <w:jc w:val="both"/>
              <w:rPr>
                <w:b/>
                <w:bCs/>
                <w:color w:val="00B050"/>
              </w:rPr>
            </w:pPr>
            <w:r w:rsidRPr="00187535">
              <w:rPr>
                <w:b/>
                <w:bCs/>
                <w:color w:val="00B050"/>
              </w:rPr>
              <w:t>20.</w:t>
            </w:r>
            <w:r w:rsidR="00116417" w:rsidRPr="00187535">
              <w:rPr>
                <w:b/>
                <w:bCs/>
                <w:color w:val="00B050"/>
              </w:rPr>
              <w:t>34</w:t>
            </w:r>
            <w:r w:rsidRPr="00187535">
              <w:rPr>
                <w:b/>
                <w:bCs/>
                <w:color w:val="00B050"/>
              </w:rPr>
              <w:t>dB</w:t>
            </w:r>
          </w:p>
        </w:tc>
        <w:tc>
          <w:tcPr>
            <w:tcW w:w="1322" w:type="dxa"/>
          </w:tcPr>
          <w:p w:rsidR="00E9064D" w:rsidRPr="00187535" w:rsidRDefault="00116417" w:rsidP="00A47109">
            <w:pPr>
              <w:jc w:val="both"/>
              <w:rPr>
                <w:b/>
                <w:bCs/>
                <w:color w:val="00B050"/>
              </w:rPr>
            </w:pPr>
            <w:r w:rsidRPr="00187535">
              <w:rPr>
                <w:b/>
                <w:bCs/>
                <w:color w:val="00B050"/>
              </w:rPr>
              <w:t>9.6</w:t>
            </w:r>
            <w:r w:rsidR="00E9064D" w:rsidRPr="00187535">
              <w:rPr>
                <w:b/>
                <w:bCs/>
                <w:color w:val="00B050"/>
              </w:rPr>
              <w:t>dB</w:t>
            </w:r>
          </w:p>
        </w:tc>
        <w:tc>
          <w:tcPr>
            <w:tcW w:w="1620" w:type="dxa"/>
          </w:tcPr>
          <w:p w:rsidR="00E9064D" w:rsidRPr="00187535" w:rsidRDefault="00E9064D" w:rsidP="00A47109">
            <w:pPr>
              <w:jc w:val="both"/>
              <w:rPr>
                <w:b/>
                <w:bCs/>
                <w:color w:val="00B050"/>
              </w:rPr>
            </w:pPr>
            <w:r w:rsidRPr="00187535">
              <w:rPr>
                <w:b/>
                <w:bCs/>
                <w:color w:val="00B050"/>
              </w:rPr>
              <w:t>99.97%</w:t>
            </w:r>
          </w:p>
        </w:tc>
      </w:tr>
      <w:tr w:rsidR="00A47109" w:rsidTr="001B417D">
        <w:tc>
          <w:tcPr>
            <w:tcW w:w="2913" w:type="dxa"/>
            <w:vMerge w:val="restart"/>
          </w:tcPr>
          <w:p w:rsidR="00A47109" w:rsidRPr="00A47109" w:rsidRDefault="00A47109" w:rsidP="00A47109">
            <w:pPr>
              <w:jc w:val="both"/>
            </w:pPr>
            <w:r w:rsidRPr="00A47109">
              <w:t xml:space="preserve">BW = 100 MHz, SCS = 120 kHz, DFT-S-OFDM QPSK, </w:t>
            </w:r>
            <w:r>
              <w:t>16</w:t>
            </w:r>
            <w:r w:rsidRPr="00A47109">
              <w:t>RB23</w:t>
            </w:r>
          </w:p>
        </w:tc>
        <w:tc>
          <w:tcPr>
            <w:tcW w:w="954" w:type="dxa"/>
          </w:tcPr>
          <w:p w:rsidR="00A47109" w:rsidRPr="00187535" w:rsidRDefault="00A47109" w:rsidP="00A47109">
            <w:pPr>
              <w:jc w:val="both"/>
              <w:rPr>
                <w:b/>
                <w:bCs/>
              </w:rPr>
            </w:pPr>
            <w:r w:rsidRPr="00187535">
              <w:rPr>
                <w:b/>
                <w:bCs/>
              </w:rPr>
              <w:t>23dBm</w:t>
            </w:r>
          </w:p>
        </w:tc>
        <w:tc>
          <w:tcPr>
            <w:tcW w:w="1192" w:type="dxa"/>
          </w:tcPr>
          <w:p w:rsidR="00A47109" w:rsidRPr="00187535" w:rsidRDefault="00116417" w:rsidP="00A47109">
            <w:pPr>
              <w:jc w:val="both"/>
              <w:rPr>
                <w:b/>
                <w:bCs/>
                <w:color w:val="00B050"/>
              </w:rPr>
            </w:pPr>
            <w:r w:rsidRPr="00187535">
              <w:rPr>
                <w:b/>
                <w:bCs/>
                <w:color w:val="00B050"/>
              </w:rPr>
              <w:t>2.5</w:t>
            </w:r>
            <w:r w:rsidR="00A47109" w:rsidRPr="00187535">
              <w:rPr>
                <w:b/>
                <w:bCs/>
                <w:color w:val="00B050"/>
              </w:rPr>
              <w:t>dB</w:t>
            </w:r>
          </w:p>
        </w:tc>
        <w:tc>
          <w:tcPr>
            <w:tcW w:w="866" w:type="dxa"/>
          </w:tcPr>
          <w:p w:rsidR="00A47109" w:rsidRPr="00187535" w:rsidRDefault="00116417" w:rsidP="00A47109">
            <w:pPr>
              <w:jc w:val="both"/>
              <w:rPr>
                <w:b/>
                <w:bCs/>
                <w:color w:val="00B050"/>
              </w:rPr>
            </w:pPr>
            <w:r w:rsidRPr="00187535">
              <w:rPr>
                <w:b/>
                <w:bCs/>
                <w:color w:val="00B050"/>
              </w:rPr>
              <w:t>15.52</w:t>
            </w:r>
            <w:r w:rsidR="00A47109" w:rsidRPr="00187535">
              <w:rPr>
                <w:b/>
                <w:bCs/>
                <w:color w:val="00B050"/>
              </w:rPr>
              <w:t>%</w:t>
            </w:r>
          </w:p>
        </w:tc>
        <w:tc>
          <w:tcPr>
            <w:tcW w:w="1393" w:type="dxa"/>
          </w:tcPr>
          <w:p w:rsidR="00A47109" w:rsidRPr="00187535" w:rsidRDefault="00A47109" w:rsidP="00116417">
            <w:pPr>
              <w:jc w:val="both"/>
              <w:rPr>
                <w:b/>
                <w:bCs/>
                <w:color w:val="00B050"/>
              </w:rPr>
            </w:pPr>
            <w:r w:rsidRPr="00187535">
              <w:rPr>
                <w:b/>
                <w:bCs/>
                <w:color w:val="00B050"/>
              </w:rPr>
              <w:t>29.9</w:t>
            </w:r>
            <w:r w:rsidR="00116417" w:rsidRPr="00187535">
              <w:rPr>
                <w:b/>
                <w:bCs/>
                <w:color w:val="00B050"/>
              </w:rPr>
              <w:t>7</w:t>
            </w:r>
            <w:r w:rsidRPr="00187535">
              <w:rPr>
                <w:b/>
                <w:bCs/>
                <w:color w:val="00B050"/>
              </w:rPr>
              <w:t>dB</w:t>
            </w:r>
          </w:p>
        </w:tc>
        <w:tc>
          <w:tcPr>
            <w:tcW w:w="1322" w:type="dxa"/>
          </w:tcPr>
          <w:p w:rsidR="00A47109" w:rsidRPr="00187535" w:rsidRDefault="00A47109" w:rsidP="00116417">
            <w:pPr>
              <w:jc w:val="both"/>
              <w:rPr>
                <w:b/>
                <w:bCs/>
                <w:color w:val="00B050"/>
              </w:rPr>
            </w:pPr>
            <w:r w:rsidRPr="00187535">
              <w:rPr>
                <w:b/>
                <w:bCs/>
                <w:color w:val="00B050"/>
              </w:rPr>
              <w:t>23.</w:t>
            </w:r>
            <w:r w:rsidR="00116417" w:rsidRPr="00187535">
              <w:rPr>
                <w:b/>
                <w:bCs/>
                <w:color w:val="00B050"/>
              </w:rPr>
              <w:t>72</w:t>
            </w:r>
            <w:r w:rsidRPr="00187535">
              <w:rPr>
                <w:b/>
                <w:bCs/>
                <w:color w:val="00B050"/>
              </w:rPr>
              <w:t>dB</w:t>
            </w:r>
          </w:p>
        </w:tc>
        <w:tc>
          <w:tcPr>
            <w:tcW w:w="1620" w:type="dxa"/>
          </w:tcPr>
          <w:p w:rsidR="00A47109" w:rsidRPr="00187535" w:rsidRDefault="00A47109" w:rsidP="00A47109">
            <w:pPr>
              <w:jc w:val="both"/>
              <w:rPr>
                <w:b/>
                <w:bCs/>
                <w:color w:val="00B050"/>
              </w:rPr>
            </w:pPr>
            <w:r w:rsidRPr="00187535">
              <w:rPr>
                <w:b/>
                <w:bCs/>
                <w:color w:val="00B050"/>
              </w:rPr>
              <w:t>99.99%</w:t>
            </w:r>
          </w:p>
        </w:tc>
      </w:tr>
      <w:tr w:rsidR="00A47109" w:rsidTr="001B417D">
        <w:tc>
          <w:tcPr>
            <w:tcW w:w="2913" w:type="dxa"/>
            <w:vMerge/>
          </w:tcPr>
          <w:p w:rsidR="00A47109" w:rsidRPr="00A47109" w:rsidRDefault="00A47109" w:rsidP="00A47109">
            <w:pPr>
              <w:jc w:val="both"/>
            </w:pPr>
          </w:p>
        </w:tc>
        <w:tc>
          <w:tcPr>
            <w:tcW w:w="954" w:type="dxa"/>
          </w:tcPr>
          <w:p w:rsidR="00A47109" w:rsidRPr="00187535" w:rsidRDefault="00A47109" w:rsidP="00A47109">
            <w:pPr>
              <w:jc w:val="both"/>
              <w:rPr>
                <w:b/>
                <w:bCs/>
              </w:rPr>
            </w:pPr>
            <w:r w:rsidRPr="00187535">
              <w:rPr>
                <w:b/>
                <w:bCs/>
              </w:rPr>
              <w:t>24dBm</w:t>
            </w:r>
          </w:p>
        </w:tc>
        <w:tc>
          <w:tcPr>
            <w:tcW w:w="1192" w:type="dxa"/>
          </w:tcPr>
          <w:p w:rsidR="00A47109" w:rsidRPr="00187535" w:rsidRDefault="00B967A2" w:rsidP="00A47109">
            <w:pPr>
              <w:jc w:val="both"/>
              <w:rPr>
                <w:b/>
                <w:bCs/>
                <w:color w:val="FF0000"/>
              </w:rPr>
            </w:pPr>
            <w:r w:rsidRPr="00187535">
              <w:rPr>
                <w:b/>
                <w:bCs/>
                <w:color w:val="FF0000"/>
              </w:rPr>
              <w:t>-0.14dB</w:t>
            </w:r>
          </w:p>
        </w:tc>
        <w:tc>
          <w:tcPr>
            <w:tcW w:w="866" w:type="dxa"/>
          </w:tcPr>
          <w:p w:rsidR="00A47109" w:rsidRPr="00187535" w:rsidRDefault="00A47109" w:rsidP="00B967A2">
            <w:pPr>
              <w:jc w:val="both"/>
              <w:rPr>
                <w:b/>
                <w:bCs/>
                <w:color w:val="FF0000"/>
              </w:rPr>
            </w:pPr>
            <w:r w:rsidRPr="00187535">
              <w:rPr>
                <w:b/>
                <w:bCs/>
                <w:color w:val="FF0000"/>
              </w:rPr>
              <w:t>1</w:t>
            </w:r>
            <w:r w:rsidR="00B967A2" w:rsidRPr="00187535">
              <w:rPr>
                <w:b/>
                <w:bCs/>
                <w:color w:val="FF0000"/>
              </w:rPr>
              <w:t>9</w:t>
            </w:r>
            <w:r w:rsidRPr="00187535">
              <w:rPr>
                <w:b/>
                <w:bCs/>
                <w:color w:val="FF0000"/>
              </w:rPr>
              <w:t>.</w:t>
            </w:r>
            <w:r w:rsidR="00B967A2" w:rsidRPr="00187535">
              <w:rPr>
                <w:b/>
                <w:bCs/>
                <w:color w:val="FF0000"/>
              </w:rPr>
              <w:t>87</w:t>
            </w:r>
            <w:r w:rsidRPr="00187535">
              <w:rPr>
                <w:b/>
                <w:bCs/>
                <w:color w:val="FF0000"/>
              </w:rPr>
              <w:t>%</w:t>
            </w:r>
          </w:p>
        </w:tc>
        <w:tc>
          <w:tcPr>
            <w:tcW w:w="1393" w:type="dxa"/>
          </w:tcPr>
          <w:p w:rsidR="00A47109" w:rsidRPr="00187535" w:rsidRDefault="00B967A2" w:rsidP="00A47109">
            <w:pPr>
              <w:jc w:val="both"/>
              <w:rPr>
                <w:b/>
                <w:bCs/>
                <w:color w:val="00B050"/>
              </w:rPr>
            </w:pPr>
            <w:r w:rsidRPr="00187535">
              <w:rPr>
                <w:b/>
                <w:bCs/>
                <w:color w:val="00B050"/>
              </w:rPr>
              <w:t>26</w:t>
            </w:r>
            <w:r w:rsidR="0057502A" w:rsidRPr="00187535">
              <w:rPr>
                <w:b/>
                <w:bCs/>
                <w:color w:val="00B050"/>
              </w:rPr>
              <w:t>dB</w:t>
            </w:r>
          </w:p>
        </w:tc>
        <w:tc>
          <w:tcPr>
            <w:tcW w:w="1322" w:type="dxa"/>
          </w:tcPr>
          <w:p w:rsidR="00A47109" w:rsidRPr="00187535" w:rsidRDefault="00B967A2" w:rsidP="00A47109">
            <w:pPr>
              <w:jc w:val="both"/>
              <w:rPr>
                <w:b/>
                <w:bCs/>
                <w:color w:val="00B050"/>
              </w:rPr>
            </w:pPr>
            <w:r w:rsidRPr="00187535">
              <w:rPr>
                <w:b/>
                <w:bCs/>
                <w:color w:val="00B050"/>
              </w:rPr>
              <w:t>16.18dB</w:t>
            </w:r>
          </w:p>
        </w:tc>
        <w:tc>
          <w:tcPr>
            <w:tcW w:w="1620" w:type="dxa"/>
          </w:tcPr>
          <w:p w:rsidR="00A47109" w:rsidRPr="00187535" w:rsidRDefault="0057502A" w:rsidP="00A47109">
            <w:pPr>
              <w:jc w:val="both"/>
              <w:rPr>
                <w:b/>
                <w:bCs/>
                <w:color w:val="00B050"/>
              </w:rPr>
            </w:pPr>
            <w:r w:rsidRPr="00187535">
              <w:rPr>
                <w:b/>
                <w:bCs/>
                <w:color w:val="00B050"/>
              </w:rPr>
              <w:t>99.98%</w:t>
            </w:r>
          </w:p>
        </w:tc>
      </w:tr>
    </w:tbl>
    <w:p w:rsidR="0024543E" w:rsidRPr="00C6645A" w:rsidRDefault="0024543E" w:rsidP="004D6F90">
      <w:pPr>
        <w:tabs>
          <w:tab w:val="left" w:pos="1512"/>
        </w:tabs>
        <w:jc w:val="both"/>
        <w:rPr>
          <w:b/>
          <w:bCs/>
        </w:rPr>
      </w:pPr>
      <w:r w:rsidRPr="00755E83">
        <w:rPr>
          <w:b/>
          <w:bCs/>
        </w:rPr>
        <w:t xml:space="preserve">Observation </w:t>
      </w:r>
      <w:r>
        <w:rPr>
          <w:b/>
          <w:bCs/>
        </w:rPr>
        <w:t>4</w:t>
      </w:r>
      <w:r w:rsidRPr="00755E83">
        <w:rPr>
          <w:b/>
          <w:bCs/>
        </w:rPr>
        <w:t xml:space="preserve">: </w:t>
      </w:r>
      <w:r w:rsidRPr="00C6645A">
        <w:rPr>
          <w:b/>
          <w:bCs/>
        </w:rPr>
        <w:t xml:space="preserve">FR2 PC3 0dB MPR waveforms are </w:t>
      </w:r>
      <w:r w:rsidR="00153662">
        <w:rPr>
          <w:b/>
          <w:bCs/>
        </w:rPr>
        <w:t xml:space="preserve">both </w:t>
      </w:r>
      <w:r w:rsidRPr="00C6645A">
        <w:rPr>
          <w:b/>
          <w:bCs/>
        </w:rPr>
        <w:t xml:space="preserve">IBE limited </w:t>
      </w:r>
      <w:r w:rsidR="004D6F90">
        <w:rPr>
          <w:b/>
          <w:bCs/>
        </w:rPr>
        <w:t>and</w:t>
      </w:r>
      <w:r w:rsidRPr="00C6645A">
        <w:rPr>
          <w:b/>
          <w:bCs/>
        </w:rPr>
        <w:t xml:space="preserve"> EVM limited.</w:t>
      </w:r>
    </w:p>
    <w:p w:rsidR="00C6645A" w:rsidRDefault="004D6F90" w:rsidP="004D6F90">
      <w:pPr>
        <w:jc w:val="both"/>
        <w:rPr>
          <w:b/>
          <w:bCs/>
        </w:rPr>
      </w:pPr>
      <w:r>
        <w:rPr>
          <w:b/>
          <w:bCs/>
        </w:rPr>
        <w:t xml:space="preserve">Observation 5: </w:t>
      </w:r>
      <w:r w:rsidRPr="004D6F90">
        <w:rPr>
          <w:b/>
          <w:bCs/>
        </w:rPr>
        <w:t xml:space="preserve">IBE requirement relaxation (or even disabling) will not enable power boost for FR2 PC3 0dB MPR waveforms since these waveforms are </w:t>
      </w:r>
      <w:r w:rsidR="00153662">
        <w:rPr>
          <w:b/>
          <w:bCs/>
        </w:rPr>
        <w:t xml:space="preserve">both </w:t>
      </w:r>
      <w:r w:rsidRPr="004D6F90">
        <w:rPr>
          <w:b/>
          <w:bCs/>
        </w:rPr>
        <w:t>IBE limited and EVM limited.</w:t>
      </w:r>
    </w:p>
    <w:p w:rsidR="004D6F90" w:rsidRPr="004D6F90" w:rsidRDefault="004D6F90" w:rsidP="001B417D">
      <w:pPr>
        <w:jc w:val="both"/>
        <w:rPr>
          <w:b/>
          <w:bCs/>
        </w:rPr>
      </w:pPr>
      <w:r>
        <w:rPr>
          <w:b/>
          <w:bCs/>
        </w:rPr>
        <w:t xml:space="preserve">Proposal 2: No </w:t>
      </w:r>
      <w:r w:rsidR="001B417D">
        <w:rPr>
          <w:b/>
          <w:bCs/>
        </w:rPr>
        <w:t xml:space="preserve">relaxation or </w:t>
      </w:r>
      <w:r>
        <w:rPr>
          <w:b/>
          <w:bCs/>
        </w:rPr>
        <w:t xml:space="preserve">disabling for </w:t>
      </w:r>
      <w:r w:rsidR="001B417D">
        <w:rPr>
          <w:b/>
          <w:bCs/>
        </w:rPr>
        <w:t xml:space="preserve">FR2 </w:t>
      </w:r>
      <w:r>
        <w:rPr>
          <w:b/>
          <w:bCs/>
        </w:rPr>
        <w:t xml:space="preserve">IBE requirement should be made in Rel-16 since </w:t>
      </w:r>
      <w:r w:rsidRPr="004D6F90">
        <w:rPr>
          <w:b/>
          <w:bCs/>
        </w:rPr>
        <w:t>FR2 PC3 0dB MPR waveforms are</w:t>
      </w:r>
      <w:r w:rsidR="00D81C6E">
        <w:rPr>
          <w:b/>
          <w:bCs/>
        </w:rPr>
        <w:t xml:space="preserve"> both</w:t>
      </w:r>
      <w:r w:rsidRPr="004D6F90">
        <w:rPr>
          <w:b/>
          <w:bCs/>
        </w:rPr>
        <w:t xml:space="preserve"> IBE limited and EVM limited</w:t>
      </w:r>
      <w:r w:rsidR="001B417D">
        <w:rPr>
          <w:b/>
          <w:bCs/>
        </w:rPr>
        <w:t>.</w:t>
      </w:r>
    </w:p>
    <w:p w:rsidR="001E4F02" w:rsidRPr="00146B4F" w:rsidRDefault="001E4F02" w:rsidP="001E4F02">
      <w:pPr>
        <w:pStyle w:val="Heading1"/>
      </w:pPr>
      <w:r w:rsidRPr="00146B4F">
        <w:t>Conclusion</w:t>
      </w:r>
    </w:p>
    <w:p w:rsidR="00931C84" w:rsidRDefault="001E4F02" w:rsidP="00931C84">
      <w:pPr>
        <w:jc w:val="both"/>
      </w:pPr>
      <w:r>
        <w:t>In this paper</w:t>
      </w:r>
      <w:r w:rsidR="00931C84">
        <w:t>,</w:t>
      </w:r>
      <w:r>
        <w:t xml:space="preserve"> </w:t>
      </w:r>
      <w:r w:rsidR="00931C84">
        <w:t>we discussed these two possible FR2 MPR improvements and proposed the corresponding RF requirements. We made the following observations and proposals:</w:t>
      </w:r>
    </w:p>
    <w:p w:rsidR="00236CF0" w:rsidRPr="00755E83" w:rsidRDefault="00A80FD4" w:rsidP="00A80FD4">
      <w:pPr>
        <w:jc w:val="both"/>
        <w:rPr>
          <w:b/>
          <w:bCs/>
        </w:rPr>
      </w:pPr>
      <w:r w:rsidRPr="00755E83">
        <w:rPr>
          <w:b/>
          <w:bCs/>
        </w:rPr>
        <w:t xml:space="preserve">Observation 1: </w:t>
      </w:r>
      <w:r w:rsidRPr="00980E55">
        <w:rPr>
          <w:b/>
          <w:bCs/>
        </w:rPr>
        <w:t xml:space="preserve">The </w:t>
      </w:r>
      <w:r>
        <w:rPr>
          <w:b/>
          <w:bCs/>
        </w:rPr>
        <w:t xml:space="preserve">new </w:t>
      </w:r>
      <w:r w:rsidRPr="00980E55">
        <w:rPr>
          <w:b/>
          <w:bCs/>
        </w:rPr>
        <w:t>proposed region</w:t>
      </w:r>
      <w:r>
        <w:rPr>
          <w:b/>
          <w:bCs/>
        </w:rPr>
        <w:t xml:space="preserve"> 1</w:t>
      </w:r>
      <w:r w:rsidRPr="00980E55">
        <w:rPr>
          <w:b/>
          <w:bCs/>
        </w:rPr>
        <w:t xml:space="preserve"> in </w:t>
      </w:r>
      <w:r>
        <w:rPr>
          <w:b/>
          <w:bCs/>
        </w:rPr>
        <w:t>Table 1</w:t>
      </w:r>
      <w:r w:rsidRPr="00980E55">
        <w:rPr>
          <w:b/>
          <w:bCs/>
        </w:rPr>
        <w:t xml:space="preserve"> is</w:t>
      </w:r>
      <w:r>
        <w:rPr>
          <w:b/>
          <w:bCs/>
        </w:rPr>
        <w:t xml:space="preserve"> a</w:t>
      </w:r>
      <w:r w:rsidRPr="00980E55">
        <w:rPr>
          <w:b/>
          <w:bCs/>
        </w:rPr>
        <w:t xml:space="preserve"> symmetric region with L</w:t>
      </w:r>
      <w:r w:rsidRPr="00980E55">
        <w:rPr>
          <w:b/>
          <w:bCs/>
          <w:vertAlign w:val="subscript"/>
        </w:rPr>
        <w:t xml:space="preserve">CRB </w:t>
      </w:r>
      <w:r w:rsidRPr="00980E55">
        <w:rPr>
          <w:b/>
          <w:bCs/>
        </w:rPr>
        <w:t>limit</w:t>
      </w:r>
      <w:r>
        <w:rPr>
          <w:b/>
          <w:bCs/>
        </w:rPr>
        <w:t xml:space="preserve">ed </w:t>
      </w:r>
      <w:r w:rsidRPr="00980E55">
        <w:rPr>
          <w:b/>
          <w:bCs/>
        </w:rPr>
        <w:t>to L</w:t>
      </w:r>
      <w:r w:rsidRPr="00980E55">
        <w:rPr>
          <w:b/>
          <w:bCs/>
          <w:vertAlign w:val="subscript"/>
        </w:rPr>
        <w:t>CRB ≤</w:t>
      </w:r>
      <w:r w:rsidRPr="00980E55">
        <w:rPr>
          <w:b/>
          <w:bCs/>
        </w:rPr>
        <w:t xml:space="preserve"> </w:t>
      </w:r>
      <w:proofErr w:type="gramStart"/>
      <w:r w:rsidRPr="00980E55">
        <w:rPr>
          <w:b/>
          <w:bCs/>
        </w:rPr>
        <w:t>ceil(</w:t>
      </w:r>
      <w:proofErr w:type="gramEnd"/>
      <w:r w:rsidRPr="00980E55">
        <w:rPr>
          <w:b/>
          <w:bCs/>
        </w:rPr>
        <w:t>N</w:t>
      </w:r>
      <w:r w:rsidRPr="00980E55">
        <w:rPr>
          <w:b/>
          <w:bCs/>
          <w:vertAlign w:val="subscript"/>
        </w:rPr>
        <w:t>RB</w:t>
      </w:r>
      <w:r w:rsidRPr="00980E55">
        <w:rPr>
          <w:b/>
          <w:bCs/>
        </w:rPr>
        <w:t>/3). This region ensures having number of unallocated RBs on each side of allocated RBs greater than or equal the number of allocated RBs. These properties will ensure</w:t>
      </w:r>
      <w:r>
        <w:rPr>
          <w:b/>
          <w:bCs/>
        </w:rPr>
        <w:t xml:space="preserve"> having IMD3 products within the channel and </w:t>
      </w:r>
      <w:r w:rsidRPr="00980E55">
        <w:rPr>
          <w:b/>
          <w:bCs/>
        </w:rPr>
        <w:t>OBW compliance for waveforms inside this 0dB MPR region.</w:t>
      </w:r>
    </w:p>
    <w:p w:rsidR="00931C84" w:rsidRPr="00755E83" w:rsidRDefault="00931C84" w:rsidP="00931C84">
      <w:pPr>
        <w:jc w:val="both"/>
        <w:rPr>
          <w:b/>
          <w:bCs/>
        </w:rPr>
      </w:pPr>
      <w:r w:rsidRPr="00755E83">
        <w:rPr>
          <w:b/>
          <w:bCs/>
        </w:rPr>
        <w:t xml:space="preserve">Observation </w:t>
      </w:r>
      <w:r>
        <w:rPr>
          <w:b/>
          <w:bCs/>
        </w:rPr>
        <w:t>2</w:t>
      </w:r>
      <w:r w:rsidRPr="00755E83">
        <w:rPr>
          <w:b/>
          <w:bCs/>
        </w:rPr>
        <w:t xml:space="preserve">: </w:t>
      </w:r>
      <w:r>
        <w:rPr>
          <w:b/>
          <w:bCs/>
        </w:rPr>
        <w:t>Based on simulation results, t</w:t>
      </w:r>
      <w:r w:rsidRPr="00980E55">
        <w:rPr>
          <w:b/>
          <w:bCs/>
        </w:rPr>
        <w:t xml:space="preserve">he </w:t>
      </w:r>
      <w:r>
        <w:rPr>
          <w:b/>
          <w:bCs/>
        </w:rPr>
        <w:t xml:space="preserve">new </w:t>
      </w:r>
      <w:r w:rsidRPr="00980E55">
        <w:rPr>
          <w:b/>
          <w:bCs/>
        </w:rPr>
        <w:t xml:space="preserve">proposed </w:t>
      </w:r>
      <w:r>
        <w:rPr>
          <w:b/>
          <w:bCs/>
        </w:rPr>
        <w:t>region 1</w:t>
      </w:r>
      <w:r w:rsidRPr="00980E55">
        <w:rPr>
          <w:b/>
          <w:bCs/>
        </w:rPr>
        <w:t xml:space="preserve"> in </w:t>
      </w:r>
      <w:r>
        <w:rPr>
          <w:b/>
          <w:bCs/>
        </w:rPr>
        <w:t>Table 1</w:t>
      </w:r>
      <w:r w:rsidRPr="00980E55">
        <w:rPr>
          <w:b/>
          <w:bCs/>
        </w:rPr>
        <w:t xml:space="preserve"> has </w:t>
      </w:r>
      <w:r>
        <w:rPr>
          <w:b/>
          <w:bCs/>
        </w:rPr>
        <w:t>0dB MPR</w:t>
      </w:r>
      <w:r w:rsidRPr="00980E55">
        <w:rPr>
          <w:b/>
          <w:bCs/>
        </w:rPr>
        <w:t>.</w:t>
      </w:r>
    </w:p>
    <w:p w:rsidR="00931C84" w:rsidRPr="00025F83" w:rsidRDefault="00931C84" w:rsidP="00931C84">
      <w:pPr>
        <w:jc w:val="both"/>
        <w:rPr>
          <w:b/>
          <w:bCs/>
        </w:rPr>
      </w:pPr>
      <w:r>
        <w:rPr>
          <w:b/>
          <w:bCs/>
        </w:rPr>
        <w:t>Proposal</w:t>
      </w:r>
      <w:r w:rsidRPr="00755E83">
        <w:rPr>
          <w:b/>
          <w:bCs/>
        </w:rPr>
        <w:t xml:space="preserve"> </w:t>
      </w:r>
      <w:r>
        <w:rPr>
          <w:b/>
          <w:bCs/>
        </w:rPr>
        <w:t>1</w:t>
      </w:r>
      <w:r w:rsidRPr="00755E83">
        <w:rPr>
          <w:b/>
          <w:bCs/>
        </w:rPr>
        <w:t xml:space="preserve">: </w:t>
      </w:r>
      <w:r>
        <w:rPr>
          <w:b/>
          <w:bCs/>
        </w:rPr>
        <w:t>For FR2 PC3 with BW ≤ 200MHz, MPR region 1</w:t>
      </w:r>
      <w:r w:rsidRPr="00980E55">
        <w:rPr>
          <w:b/>
          <w:bCs/>
        </w:rPr>
        <w:t xml:space="preserve"> i</w:t>
      </w:r>
      <w:r>
        <w:rPr>
          <w:b/>
          <w:bCs/>
        </w:rPr>
        <w:t>s</w:t>
      </w:r>
      <w:r w:rsidRPr="00980E55">
        <w:rPr>
          <w:b/>
          <w:bCs/>
        </w:rPr>
        <w:t xml:space="preserve"> </w:t>
      </w:r>
      <w:r>
        <w:rPr>
          <w:b/>
          <w:bCs/>
        </w:rPr>
        <w:t>extended as in Table 1.</w:t>
      </w:r>
    </w:p>
    <w:p w:rsidR="00931C84" w:rsidRPr="00755E83" w:rsidRDefault="00931C84" w:rsidP="00931C84">
      <w:pPr>
        <w:jc w:val="both"/>
        <w:rPr>
          <w:b/>
          <w:bCs/>
        </w:rPr>
      </w:pPr>
      <w:r w:rsidRPr="00755E83">
        <w:rPr>
          <w:b/>
          <w:bCs/>
        </w:rPr>
        <w:t xml:space="preserve">Observation </w:t>
      </w:r>
      <w:r>
        <w:rPr>
          <w:b/>
          <w:bCs/>
        </w:rPr>
        <w:t>3</w:t>
      </w:r>
      <w:r w:rsidRPr="00755E83">
        <w:rPr>
          <w:b/>
          <w:bCs/>
        </w:rPr>
        <w:t xml:space="preserve">: </w:t>
      </w:r>
      <w:r w:rsidRPr="00C6645A">
        <w:rPr>
          <w:b/>
          <w:bCs/>
        </w:rPr>
        <w:t xml:space="preserve">IBE relaxation </w:t>
      </w:r>
      <w:r w:rsidR="002E2870">
        <w:rPr>
          <w:b/>
          <w:bCs/>
        </w:rPr>
        <w:t>can enable</w:t>
      </w:r>
      <w:r w:rsidRPr="00C6645A">
        <w:rPr>
          <w:b/>
          <w:bCs/>
        </w:rPr>
        <w:t xml:space="preserve"> power boosting for 0dB MPR waveforms that are IBE limited</w:t>
      </w:r>
      <w:r w:rsidR="00977A4C">
        <w:rPr>
          <w:b/>
          <w:bCs/>
        </w:rPr>
        <w:t xml:space="preserve"> only</w:t>
      </w:r>
      <w:r w:rsidRPr="00C6645A">
        <w:rPr>
          <w:b/>
          <w:bCs/>
        </w:rPr>
        <w:t>.</w:t>
      </w:r>
    </w:p>
    <w:p w:rsidR="004D6F90" w:rsidRPr="00C6645A" w:rsidRDefault="004D6F90" w:rsidP="004D6F90">
      <w:pPr>
        <w:tabs>
          <w:tab w:val="left" w:pos="1512"/>
        </w:tabs>
        <w:jc w:val="both"/>
        <w:rPr>
          <w:b/>
          <w:bCs/>
        </w:rPr>
      </w:pPr>
      <w:r w:rsidRPr="00755E83">
        <w:rPr>
          <w:b/>
          <w:bCs/>
        </w:rPr>
        <w:t xml:space="preserve">Observation </w:t>
      </w:r>
      <w:r>
        <w:rPr>
          <w:b/>
          <w:bCs/>
        </w:rPr>
        <w:t>4</w:t>
      </w:r>
      <w:r w:rsidRPr="00755E83">
        <w:rPr>
          <w:b/>
          <w:bCs/>
        </w:rPr>
        <w:t xml:space="preserve">: </w:t>
      </w:r>
      <w:r w:rsidRPr="00C6645A">
        <w:rPr>
          <w:b/>
          <w:bCs/>
        </w:rPr>
        <w:t xml:space="preserve">FR2 PC3 0dB MPR waveforms are </w:t>
      </w:r>
      <w:r w:rsidR="00153662">
        <w:rPr>
          <w:b/>
          <w:bCs/>
        </w:rPr>
        <w:t xml:space="preserve">both </w:t>
      </w:r>
      <w:r w:rsidRPr="00C6645A">
        <w:rPr>
          <w:b/>
          <w:bCs/>
        </w:rPr>
        <w:t xml:space="preserve">IBE limited </w:t>
      </w:r>
      <w:r>
        <w:rPr>
          <w:b/>
          <w:bCs/>
        </w:rPr>
        <w:t>and</w:t>
      </w:r>
      <w:r w:rsidRPr="00C6645A">
        <w:rPr>
          <w:b/>
          <w:bCs/>
        </w:rPr>
        <w:t xml:space="preserve"> EVM limited.</w:t>
      </w:r>
    </w:p>
    <w:p w:rsidR="004D6F90" w:rsidRDefault="004D6F90" w:rsidP="004D6F90">
      <w:pPr>
        <w:jc w:val="both"/>
        <w:rPr>
          <w:b/>
          <w:bCs/>
        </w:rPr>
      </w:pPr>
      <w:r>
        <w:rPr>
          <w:b/>
          <w:bCs/>
        </w:rPr>
        <w:t xml:space="preserve">Observation 5: </w:t>
      </w:r>
      <w:r w:rsidRPr="004D6F90">
        <w:rPr>
          <w:b/>
          <w:bCs/>
        </w:rPr>
        <w:t xml:space="preserve">IBE requirement relaxation (or even disabling) will not enable power boost for FR2 PC3 0dB MPR waveforms since these waveforms are </w:t>
      </w:r>
      <w:r w:rsidR="00153662">
        <w:rPr>
          <w:b/>
          <w:bCs/>
        </w:rPr>
        <w:t xml:space="preserve">both </w:t>
      </w:r>
      <w:r w:rsidRPr="004D6F90">
        <w:rPr>
          <w:b/>
          <w:bCs/>
        </w:rPr>
        <w:t>IBE limited and EVM limited.</w:t>
      </w:r>
    </w:p>
    <w:p w:rsidR="001B417D" w:rsidRPr="004D6F90" w:rsidRDefault="001B417D" w:rsidP="001B417D">
      <w:pPr>
        <w:jc w:val="both"/>
        <w:rPr>
          <w:b/>
          <w:bCs/>
        </w:rPr>
      </w:pPr>
      <w:r>
        <w:rPr>
          <w:b/>
          <w:bCs/>
        </w:rPr>
        <w:t xml:space="preserve">Proposal 2: No relaxation or disabling for FR2 IBE requirement should be made in Rel-16 since </w:t>
      </w:r>
      <w:r w:rsidRPr="004D6F90">
        <w:rPr>
          <w:b/>
          <w:bCs/>
        </w:rPr>
        <w:t xml:space="preserve">FR2 PC3 0dB MPR waveforms are </w:t>
      </w:r>
      <w:r w:rsidR="00D81C6E">
        <w:rPr>
          <w:b/>
          <w:bCs/>
        </w:rPr>
        <w:t xml:space="preserve">both </w:t>
      </w:r>
      <w:r w:rsidRPr="004D6F90">
        <w:rPr>
          <w:b/>
          <w:bCs/>
        </w:rPr>
        <w:t>IBE limited and EVM limited</w:t>
      </w:r>
      <w:r>
        <w:rPr>
          <w:b/>
          <w:bCs/>
        </w:rPr>
        <w:t>.</w:t>
      </w:r>
    </w:p>
    <w:p w:rsidR="001E4F02" w:rsidRPr="00146B4F" w:rsidRDefault="001E4F02" w:rsidP="001E4F02">
      <w:pPr>
        <w:pStyle w:val="Heading1"/>
        <w:numPr>
          <w:ilvl w:val="0"/>
          <w:numId w:val="0"/>
        </w:numPr>
        <w:tabs>
          <w:tab w:val="clear" w:pos="567"/>
          <w:tab w:val="left" w:pos="0"/>
        </w:tabs>
      </w:pPr>
      <w:r w:rsidRPr="00146B4F">
        <w:t>References</w:t>
      </w:r>
    </w:p>
    <w:p w:rsidR="001E4F02" w:rsidRPr="007032BA" w:rsidRDefault="00B87B67" w:rsidP="00B87B67">
      <w:pPr>
        <w:widowControl w:val="0"/>
        <w:numPr>
          <w:ilvl w:val="0"/>
          <w:numId w:val="1"/>
        </w:numPr>
        <w:overflowPunct/>
        <w:autoSpaceDE/>
        <w:autoSpaceDN/>
        <w:adjustRightInd/>
        <w:jc w:val="both"/>
        <w:textAlignment w:val="auto"/>
      </w:pPr>
      <w:bookmarkStart w:id="2" w:name="_Ref12973084"/>
      <w:r w:rsidRPr="00B87B67">
        <w:rPr>
          <w:bCs/>
        </w:rPr>
        <w:t>R4-1910280</w:t>
      </w:r>
      <w:r w:rsidR="001E4F02" w:rsidRPr="00F6157C">
        <w:rPr>
          <w:bCs/>
        </w:rPr>
        <w:t xml:space="preserve"> “</w:t>
      </w:r>
      <w:r w:rsidRPr="00B87B67">
        <w:rPr>
          <w:bCs/>
        </w:rPr>
        <w:t>WF on Region 1 Extension for Power Class 3 Operation in FR2</w:t>
      </w:r>
      <w:r w:rsidR="001E4F02" w:rsidRPr="00F6157C">
        <w:rPr>
          <w:bCs/>
        </w:rPr>
        <w:t>”</w:t>
      </w:r>
      <w:r w:rsidR="001E4F02">
        <w:rPr>
          <w:bCs/>
        </w:rPr>
        <w:t xml:space="preserve">, </w:t>
      </w:r>
      <w:r w:rsidR="001E4F02" w:rsidRPr="00EB3C5B">
        <w:rPr>
          <w:bCs/>
        </w:rPr>
        <w:t>Skyworks</w:t>
      </w:r>
      <w:r w:rsidR="001E4F02">
        <w:rPr>
          <w:bCs/>
        </w:rPr>
        <w:t>, RAN4 #9</w:t>
      </w:r>
      <w:r>
        <w:rPr>
          <w:bCs/>
        </w:rPr>
        <w:t>2</w:t>
      </w:r>
      <w:r w:rsidR="001E4F02">
        <w:rPr>
          <w:bCs/>
        </w:rPr>
        <w:t xml:space="preserve">, </w:t>
      </w:r>
      <w:r>
        <w:rPr>
          <w:bCs/>
        </w:rPr>
        <w:t>August</w:t>
      </w:r>
      <w:r w:rsidR="001E4F02">
        <w:rPr>
          <w:bCs/>
        </w:rPr>
        <w:t xml:space="preserve"> 2019.</w:t>
      </w:r>
      <w:bookmarkEnd w:id="2"/>
    </w:p>
    <w:p w:rsidR="00D33B44" w:rsidRPr="00306BE6" w:rsidRDefault="00D33B44" w:rsidP="007D12D0">
      <w:pPr>
        <w:pStyle w:val="Heading1"/>
        <w:rPr>
          <w:sz w:val="32"/>
          <w:szCs w:val="18"/>
        </w:rPr>
      </w:pPr>
      <w:r w:rsidRPr="00306BE6">
        <w:rPr>
          <w:sz w:val="32"/>
          <w:szCs w:val="18"/>
        </w:rPr>
        <w:lastRenderedPageBreak/>
        <w:t xml:space="preserve">Appendix (FR2 PC3 </w:t>
      </w:r>
      <w:r w:rsidR="007D12D0">
        <w:rPr>
          <w:sz w:val="32"/>
          <w:szCs w:val="18"/>
        </w:rPr>
        <w:t xml:space="preserve">MPR for </w:t>
      </w:r>
      <w:r w:rsidR="00306BE6" w:rsidRPr="00306BE6">
        <w:rPr>
          <w:sz w:val="32"/>
          <w:szCs w:val="18"/>
        </w:rPr>
        <w:t xml:space="preserve">DFT-s-OFDM Pi/2 BPSK and </w:t>
      </w:r>
      <w:r w:rsidR="007D12D0" w:rsidRPr="00306BE6">
        <w:rPr>
          <w:sz w:val="32"/>
          <w:szCs w:val="18"/>
        </w:rPr>
        <w:t xml:space="preserve">DFT-s-OFDM </w:t>
      </w:r>
      <w:bookmarkStart w:id="3" w:name="_GoBack"/>
      <w:bookmarkEnd w:id="3"/>
      <w:r w:rsidR="00306BE6" w:rsidRPr="00306BE6">
        <w:rPr>
          <w:sz w:val="32"/>
          <w:szCs w:val="18"/>
        </w:rPr>
        <w:t>QPSK</w:t>
      </w:r>
      <w:r w:rsidRPr="00306BE6">
        <w:rPr>
          <w:sz w:val="32"/>
          <w:szCs w:val="18"/>
        </w:rPr>
        <w:t>)</w:t>
      </w:r>
    </w:p>
    <w:p w:rsidR="00EA276E" w:rsidRDefault="00EA276E" w:rsidP="00EA276E">
      <w:pPr>
        <w:widowControl w:val="0"/>
        <w:overflowPunct/>
        <w:autoSpaceDE/>
        <w:autoSpaceDN/>
        <w:adjustRightInd/>
        <w:jc w:val="both"/>
        <w:textAlignment w:val="auto"/>
      </w:pPr>
      <w:r>
        <w:rPr>
          <w:noProof/>
          <w:lang w:val="en-US"/>
        </w:rPr>
        <w:drawing>
          <wp:inline distT="0" distB="0" distL="0" distR="0">
            <wp:extent cx="2807677" cy="210568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1.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3764" cy="2132750"/>
                    </a:xfrm>
                    <a:prstGeom prst="rect">
                      <a:avLst/>
                    </a:prstGeom>
                  </pic:spPr>
                </pic:pic>
              </a:graphicData>
            </a:graphic>
          </wp:inline>
        </w:drawing>
      </w:r>
      <w:r>
        <w:rPr>
          <w:noProof/>
          <w:lang w:val="en-US"/>
        </w:rPr>
        <w:drawing>
          <wp:inline distT="0" distB="0" distL="0" distR="0">
            <wp:extent cx="2829990" cy="2122419"/>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2.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5747" cy="2134237"/>
                    </a:xfrm>
                    <a:prstGeom prst="rect">
                      <a:avLst/>
                    </a:prstGeom>
                  </pic:spPr>
                </pic:pic>
              </a:graphicData>
            </a:graphic>
          </wp:inline>
        </w:drawing>
      </w:r>
      <w:r>
        <w:rPr>
          <w:noProof/>
          <w:lang w:val="en-US"/>
        </w:rPr>
        <w:drawing>
          <wp:inline distT="0" distB="0" distL="0" distR="0" wp14:anchorId="7E97C36C" wp14:editId="1F30F488">
            <wp:extent cx="2775013" cy="2081188"/>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3.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10168" cy="2107554"/>
                    </a:xfrm>
                    <a:prstGeom prst="rect">
                      <a:avLst/>
                    </a:prstGeom>
                  </pic:spPr>
                </pic:pic>
              </a:graphicData>
            </a:graphic>
          </wp:inline>
        </w:drawing>
      </w:r>
      <w:r>
        <w:rPr>
          <w:noProof/>
          <w:lang w:val="en-US"/>
        </w:rPr>
        <w:drawing>
          <wp:inline distT="0" distB="0" distL="0" distR="0" wp14:anchorId="3421C745" wp14:editId="0EE66EF2">
            <wp:extent cx="2755900" cy="2066853"/>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4.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86021" cy="2089443"/>
                    </a:xfrm>
                    <a:prstGeom prst="rect">
                      <a:avLst/>
                    </a:prstGeom>
                  </pic:spPr>
                </pic:pic>
              </a:graphicData>
            </a:graphic>
          </wp:inline>
        </w:drawing>
      </w:r>
    </w:p>
    <w:p w:rsidR="00D33B44" w:rsidRDefault="00D33B44" w:rsidP="00D33B44">
      <w:pPr>
        <w:widowControl w:val="0"/>
        <w:overflowPunct/>
        <w:autoSpaceDE/>
        <w:autoSpaceDN/>
        <w:adjustRightInd/>
        <w:jc w:val="both"/>
        <w:textAlignment w:val="auto"/>
      </w:pPr>
    </w:p>
    <w:p w:rsidR="00EA276E" w:rsidRDefault="00EA276E" w:rsidP="00EA276E">
      <w:pPr>
        <w:widowControl w:val="0"/>
        <w:overflowPunct/>
        <w:autoSpaceDE/>
        <w:autoSpaceDN/>
        <w:adjustRightInd/>
        <w:jc w:val="both"/>
        <w:textAlignment w:val="auto"/>
      </w:pPr>
      <w:r>
        <w:rPr>
          <w:noProof/>
          <w:lang w:val="en-US"/>
        </w:rPr>
        <w:drawing>
          <wp:inline distT="0" distB="0" distL="0" distR="0">
            <wp:extent cx="2837561" cy="2128097"/>
            <wp:effectExtent l="0" t="0" r="127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5.b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2477" cy="2169283"/>
                    </a:xfrm>
                    <a:prstGeom prst="rect">
                      <a:avLst/>
                    </a:prstGeom>
                  </pic:spPr>
                </pic:pic>
              </a:graphicData>
            </a:graphic>
          </wp:inline>
        </w:drawing>
      </w:r>
      <w:r>
        <w:rPr>
          <w:noProof/>
          <w:lang w:val="en-US"/>
        </w:rPr>
        <w:drawing>
          <wp:inline distT="0" distB="0" distL="0" distR="0">
            <wp:extent cx="2823731" cy="21177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6.b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9214" cy="2166836"/>
                    </a:xfrm>
                    <a:prstGeom prst="rect">
                      <a:avLst/>
                    </a:prstGeom>
                  </pic:spPr>
                </pic:pic>
              </a:graphicData>
            </a:graphic>
          </wp:inline>
        </w:drawing>
      </w:r>
      <w:r>
        <w:rPr>
          <w:noProof/>
          <w:lang w:val="en-US"/>
        </w:rPr>
        <w:lastRenderedPageBreak/>
        <w:drawing>
          <wp:inline distT="0" distB="0" distL="0" distR="0">
            <wp:extent cx="2801458" cy="2101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7.b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7856" cy="2150816"/>
                    </a:xfrm>
                    <a:prstGeom prst="rect">
                      <a:avLst/>
                    </a:prstGeom>
                  </pic:spPr>
                </pic:pic>
              </a:graphicData>
            </a:graphic>
          </wp:inline>
        </w:drawing>
      </w:r>
      <w:r>
        <w:rPr>
          <w:noProof/>
          <w:lang w:val="en-US"/>
        </w:rPr>
        <w:drawing>
          <wp:inline distT="0" distB="0" distL="0" distR="0">
            <wp:extent cx="2767849" cy="20758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8.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15132" cy="2111276"/>
                    </a:xfrm>
                    <a:prstGeom prst="rect">
                      <a:avLst/>
                    </a:prstGeom>
                  </pic:spPr>
                </pic:pic>
              </a:graphicData>
            </a:graphic>
          </wp:inline>
        </w:drawing>
      </w:r>
      <w:r>
        <w:rPr>
          <w:noProof/>
          <w:lang w:val="en-US"/>
        </w:rPr>
        <w:drawing>
          <wp:inline distT="0" distB="0" distL="0" distR="0">
            <wp:extent cx="2854569" cy="2140853"/>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9.b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6748" cy="2149987"/>
                    </a:xfrm>
                    <a:prstGeom prst="rect">
                      <a:avLst/>
                    </a:prstGeom>
                  </pic:spPr>
                </pic:pic>
              </a:graphicData>
            </a:graphic>
          </wp:inline>
        </w:drawing>
      </w:r>
      <w:r>
        <w:rPr>
          <w:noProof/>
          <w:lang w:val="en-US"/>
        </w:rPr>
        <w:drawing>
          <wp:inline distT="0" distB="0" distL="0" distR="0">
            <wp:extent cx="2844806" cy="2133532"/>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10.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8154" cy="2181042"/>
                    </a:xfrm>
                    <a:prstGeom prst="rect">
                      <a:avLst/>
                    </a:prstGeom>
                  </pic:spPr>
                </pic:pic>
              </a:graphicData>
            </a:graphic>
          </wp:inline>
        </w:drawing>
      </w:r>
      <w:r>
        <w:rPr>
          <w:noProof/>
          <w:lang w:val="en-US"/>
        </w:rPr>
        <w:drawing>
          <wp:inline distT="0" distB="0" distL="0" distR="0">
            <wp:extent cx="2838190" cy="2128569"/>
            <wp:effectExtent l="0" t="0" r="63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11.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4403" cy="2140728"/>
                    </a:xfrm>
                    <a:prstGeom prst="rect">
                      <a:avLst/>
                    </a:prstGeom>
                  </pic:spPr>
                </pic:pic>
              </a:graphicData>
            </a:graphic>
          </wp:inline>
        </w:drawing>
      </w:r>
      <w:r>
        <w:rPr>
          <w:noProof/>
          <w:lang w:val="en-US"/>
        </w:rPr>
        <w:drawing>
          <wp:inline distT="0" distB="0" distL="0" distR="0">
            <wp:extent cx="2778762" cy="2083999"/>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12.b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18077" cy="2113484"/>
                    </a:xfrm>
                    <a:prstGeom prst="rect">
                      <a:avLst/>
                    </a:prstGeom>
                  </pic:spPr>
                </pic:pic>
              </a:graphicData>
            </a:graphic>
          </wp:inline>
        </w:drawing>
      </w:r>
    </w:p>
    <w:sectPr w:rsidR="00EA276E" w:rsidSect="001E4F02">
      <w:headerReference w:type="even" r:id="rId20"/>
      <w:footerReference w:type="even" r:id="rId21"/>
      <w:footerReference w:type="default" r:id="rId2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D2D" w:rsidRDefault="00BC1D2D">
      <w:pPr>
        <w:spacing w:before="0" w:after="0"/>
      </w:pPr>
      <w:r>
        <w:separator/>
      </w:r>
    </w:p>
  </w:endnote>
  <w:endnote w:type="continuationSeparator" w:id="0">
    <w:p w:rsidR="00BC1D2D" w:rsidRDefault="00BC1D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08D" w:rsidRDefault="00DC008D" w:rsidP="00DC00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008D" w:rsidRDefault="00DC008D" w:rsidP="00DC008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08D" w:rsidRPr="00DB1239" w:rsidRDefault="00DC008D" w:rsidP="00DC008D">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D12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2D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D2D" w:rsidRDefault="00BC1D2D">
      <w:pPr>
        <w:spacing w:before="0" w:after="0"/>
      </w:pPr>
      <w:r>
        <w:separator/>
      </w:r>
    </w:p>
  </w:footnote>
  <w:footnote w:type="continuationSeparator" w:id="0">
    <w:p w:rsidR="00BC1D2D" w:rsidRDefault="00BC1D2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08D" w:rsidRDefault="00DC00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2405A"/>
    <w:multiLevelType w:val="hybridMultilevel"/>
    <w:tmpl w:val="AE1C10A6"/>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877DB"/>
    <w:multiLevelType w:val="hybridMultilevel"/>
    <w:tmpl w:val="6AC0A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5"/>
  </w:num>
  <w:num w:numId="3">
    <w:abstractNumId w:val="4"/>
  </w:num>
  <w:num w:numId="4">
    <w:abstractNumId w:val="1"/>
  </w:num>
  <w:num w:numId="5">
    <w:abstractNumId w:val="2"/>
  </w:num>
  <w:num w:numId="6">
    <w:abstractNumId w:val="5"/>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F02"/>
    <w:rsid w:val="00000C33"/>
    <w:rsid w:val="00004E33"/>
    <w:rsid w:val="000225EA"/>
    <w:rsid w:val="00025F83"/>
    <w:rsid w:val="0003140D"/>
    <w:rsid w:val="000356DA"/>
    <w:rsid w:val="000D5CD6"/>
    <w:rsid w:val="00116417"/>
    <w:rsid w:val="00153662"/>
    <w:rsid w:val="00160D57"/>
    <w:rsid w:val="00163B3B"/>
    <w:rsid w:val="00182602"/>
    <w:rsid w:val="00186DD4"/>
    <w:rsid w:val="00187535"/>
    <w:rsid w:val="001B417D"/>
    <w:rsid w:val="001C7A01"/>
    <w:rsid w:val="001D6BF3"/>
    <w:rsid w:val="001E2BDB"/>
    <w:rsid w:val="001E4F02"/>
    <w:rsid w:val="001F146B"/>
    <w:rsid w:val="001F4871"/>
    <w:rsid w:val="002104C1"/>
    <w:rsid w:val="00236CF0"/>
    <w:rsid w:val="002445D2"/>
    <w:rsid w:val="0024543E"/>
    <w:rsid w:val="00265D9C"/>
    <w:rsid w:val="002929EA"/>
    <w:rsid w:val="002E2870"/>
    <w:rsid w:val="002F7F2F"/>
    <w:rsid w:val="00306BE6"/>
    <w:rsid w:val="00313094"/>
    <w:rsid w:val="00341CF2"/>
    <w:rsid w:val="00346D56"/>
    <w:rsid w:val="0039620C"/>
    <w:rsid w:val="003C0E07"/>
    <w:rsid w:val="003C37F2"/>
    <w:rsid w:val="00436C04"/>
    <w:rsid w:val="0045683E"/>
    <w:rsid w:val="0048465F"/>
    <w:rsid w:val="004A7EE5"/>
    <w:rsid w:val="004D6F90"/>
    <w:rsid w:val="004E556D"/>
    <w:rsid w:val="004F62E6"/>
    <w:rsid w:val="00512395"/>
    <w:rsid w:val="005444C6"/>
    <w:rsid w:val="00551C24"/>
    <w:rsid w:val="005522B7"/>
    <w:rsid w:val="00553582"/>
    <w:rsid w:val="005544D6"/>
    <w:rsid w:val="00562DCE"/>
    <w:rsid w:val="0056482C"/>
    <w:rsid w:val="0057502A"/>
    <w:rsid w:val="005818C7"/>
    <w:rsid w:val="005A01E0"/>
    <w:rsid w:val="005C6672"/>
    <w:rsid w:val="005E4A1C"/>
    <w:rsid w:val="006059BA"/>
    <w:rsid w:val="00672CF8"/>
    <w:rsid w:val="00697299"/>
    <w:rsid w:val="006B2D8F"/>
    <w:rsid w:val="006C0040"/>
    <w:rsid w:val="006D4C1B"/>
    <w:rsid w:val="006D74A9"/>
    <w:rsid w:val="007032BA"/>
    <w:rsid w:val="0071289A"/>
    <w:rsid w:val="00714397"/>
    <w:rsid w:val="00745E85"/>
    <w:rsid w:val="00751687"/>
    <w:rsid w:val="00755E83"/>
    <w:rsid w:val="007765CB"/>
    <w:rsid w:val="00781CB2"/>
    <w:rsid w:val="007D12D0"/>
    <w:rsid w:val="007E00BA"/>
    <w:rsid w:val="007E70D8"/>
    <w:rsid w:val="008043A5"/>
    <w:rsid w:val="00844D72"/>
    <w:rsid w:val="0085562A"/>
    <w:rsid w:val="008B74EE"/>
    <w:rsid w:val="008E5439"/>
    <w:rsid w:val="0090000E"/>
    <w:rsid w:val="009234E9"/>
    <w:rsid w:val="00931C84"/>
    <w:rsid w:val="00945CE0"/>
    <w:rsid w:val="00957CE0"/>
    <w:rsid w:val="00970282"/>
    <w:rsid w:val="00972A2D"/>
    <w:rsid w:val="00977A4C"/>
    <w:rsid w:val="00980E55"/>
    <w:rsid w:val="00981FFA"/>
    <w:rsid w:val="0098708E"/>
    <w:rsid w:val="00991B2B"/>
    <w:rsid w:val="00A06EA7"/>
    <w:rsid w:val="00A34224"/>
    <w:rsid w:val="00A47109"/>
    <w:rsid w:val="00A6300F"/>
    <w:rsid w:val="00A80FD4"/>
    <w:rsid w:val="00A85AFE"/>
    <w:rsid w:val="00A875A4"/>
    <w:rsid w:val="00AC6CEE"/>
    <w:rsid w:val="00AE174C"/>
    <w:rsid w:val="00AE7302"/>
    <w:rsid w:val="00AF61E3"/>
    <w:rsid w:val="00B01462"/>
    <w:rsid w:val="00B04EDF"/>
    <w:rsid w:val="00B05B30"/>
    <w:rsid w:val="00B2257A"/>
    <w:rsid w:val="00B5782A"/>
    <w:rsid w:val="00B80F17"/>
    <w:rsid w:val="00B87B67"/>
    <w:rsid w:val="00B9359D"/>
    <w:rsid w:val="00B967A2"/>
    <w:rsid w:val="00BA61A8"/>
    <w:rsid w:val="00BA712D"/>
    <w:rsid w:val="00BB6A24"/>
    <w:rsid w:val="00BC1D2D"/>
    <w:rsid w:val="00BE498D"/>
    <w:rsid w:val="00BF3F72"/>
    <w:rsid w:val="00C05AF1"/>
    <w:rsid w:val="00C07DAA"/>
    <w:rsid w:val="00C13EF3"/>
    <w:rsid w:val="00C30EA7"/>
    <w:rsid w:val="00C32F02"/>
    <w:rsid w:val="00C42101"/>
    <w:rsid w:val="00C549B8"/>
    <w:rsid w:val="00C6645A"/>
    <w:rsid w:val="00C75455"/>
    <w:rsid w:val="00CE3085"/>
    <w:rsid w:val="00CE36F2"/>
    <w:rsid w:val="00D11FD9"/>
    <w:rsid w:val="00D21134"/>
    <w:rsid w:val="00D33B44"/>
    <w:rsid w:val="00D53D36"/>
    <w:rsid w:val="00D66EA4"/>
    <w:rsid w:val="00D71362"/>
    <w:rsid w:val="00D72AAA"/>
    <w:rsid w:val="00D81C6E"/>
    <w:rsid w:val="00DA10E7"/>
    <w:rsid w:val="00DA40EE"/>
    <w:rsid w:val="00DB5D7A"/>
    <w:rsid w:val="00DB64D5"/>
    <w:rsid w:val="00DB74A4"/>
    <w:rsid w:val="00DC008D"/>
    <w:rsid w:val="00DD74E1"/>
    <w:rsid w:val="00DF2C8F"/>
    <w:rsid w:val="00DF5329"/>
    <w:rsid w:val="00E006CE"/>
    <w:rsid w:val="00E373AE"/>
    <w:rsid w:val="00E5629B"/>
    <w:rsid w:val="00E5785C"/>
    <w:rsid w:val="00E65A2E"/>
    <w:rsid w:val="00E73BC4"/>
    <w:rsid w:val="00E7748D"/>
    <w:rsid w:val="00E827E3"/>
    <w:rsid w:val="00E8289C"/>
    <w:rsid w:val="00E9064D"/>
    <w:rsid w:val="00EA276E"/>
    <w:rsid w:val="00EE139D"/>
    <w:rsid w:val="00EE466A"/>
    <w:rsid w:val="00F04672"/>
    <w:rsid w:val="00F17F7B"/>
    <w:rsid w:val="00F24AE7"/>
    <w:rsid w:val="00F57D94"/>
    <w:rsid w:val="00FB32E0"/>
    <w:rsid w:val="00FE256E"/>
    <w:rsid w:val="00FE4C03"/>
    <w:rsid w:val="00FF5D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918962-3F1A-4B6C-8782-013B02F6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F0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E4F0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E4F0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E4F0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E4F0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1E4F0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1E4F0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1E4F0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1E4F02"/>
    <w:pPr>
      <w:numPr>
        <w:ilvl w:val="7"/>
      </w:numPr>
      <w:tabs>
        <w:tab w:val="num" w:pos="360"/>
      </w:tabs>
      <w:outlineLvl w:val="7"/>
    </w:pPr>
  </w:style>
  <w:style w:type="paragraph" w:styleId="Heading9">
    <w:name w:val="heading 9"/>
    <w:basedOn w:val="Heading8"/>
    <w:next w:val="Normal"/>
    <w:link w:val="Heading9Char"/>
    <w:qFormat/>
    <w:rsid w:val="001E4F0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E4F02"/>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E4F0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E4F02"/>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E4F02"/>
    <w:rPr>
      <w:rFonts w:ascii="Arial" w:eastAsia="Times New Roman" w:hAnsi="Arial" w:cs="Times New Roman"/>
      <w:sz w:val="24"/>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1E4F02"/>
    <w:rPr>
      <w:rFonts w:ascii="Arial" w:eastAsia="Times New Roman" w:hAnsi="Arial" w:cs="Times New Roman"/>
      <w:szCs w:val="20"/>
      <w:lang w:eastAsia="ja-JP" w:bidi="hi-IN"/>
    </w:rPr>
  </w:style>
  <w:style w:type="character" w:customStyle="1" w:styleId="Heading6Char">
    <w:name w:val="Heading 6 Char"/>
    <w:aliases w:val="T1 Char,Header 6 Char"/>
    <w:basedOn w:val="DefaultParagraphFont"/>
    <w:link w:val="Heading6"/>
    <w:rsid w:val="001E4F02"/>
    <w:rPr>
      <w:rFonts w:ascii="Arial" w:eastAsia="Times New Roman" w:hAnsi="Arial" w:cs="Times New Roman"/>
      <w:sz w:val="20"/>
      <w:szCs w:val="20"/>
      <w:lang w:eastAsia="ja-JP" w:bidi="hi-IN"/>
    </w:rPr>
  </w:style>
  <w:style w:type="character" w:customStyle="1" w:styleId="Heading7Char">
    <w:name w:val="Heading 7 Char"/>
    <w:basedOn w:val="DefaultParagraphFont"/>
    <w:link w:val="Heading7"/>
    <w:rsid w:val="001E4F02"/>
    <w:rPr>
      <w:rFonts w:ascii="Arial" w:eastAsia="Times New Roman" w:hAnsi="Arial" w:cs="Times New Roman"/>
      <w:sz w:val="20"/>
      <w:szCs w:val="20"/>
      <w:lang w:eastAsia="ja-JP" w:bidi="hi-IN"/>
    </w:rPr>
  </w:style>
  <w:style w:type="character" w:customStyle="1" w:styleId="Heading8Char">
    <w:name w:val="Heading 8 Char"/>
    <w:basedOn w:val="DefaultParagraphFont"/>
    <w:link w:val="Heading8"/>
    <w:rsid w:val="001E4F02"/>
    <w:rPr>
      <w:rFonts w:ascii="Arial" w:eastAsia="SimSun" w:hAnsi="Arial" w:cs="Times New Roman"/>
      <w:sz w:val="36"/>
      <w:szCs w:val="20"/>
      <w:lang w:val="en-GB"/>
    </w:rPr>
  </w:style>
  <w:style w:type="character" w:customStyle="1" w:styleId="Heading9Char">
    <w:name w:val="Heading 9 Char"/>
    <w:basedOn w:val="DefaultParagraphFont"/>
    <w:link w:val="Heading9"/>
    <w:rsid w:val="001E4F0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F0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E4F02"/>
    <w:rPr>
      <w:rFonts w:ascii="Arial" w:eastAsia="SimSun" w:hAnsi="Arial" w:cs="Times New Roman"/>
      <w:b/>
      <w:noProof/>
      <w:sz w:val="18"/>
      <w:szCs w:val="20"/>
    </w:rPr>
  </w:style>
  <w:style w:type="paragraph" w:styleId="Footer">
    <w:name w:val="footer"/>
    <w:basedOn w:val="Header"/>
    <w:link w:val="FooterChar"/>
    <w:rsid w:val="001E4F02"/>
    <w:pPr>
      <w:jc w:val="center"/>
    </w:pPr>
    <w:rPr>
      <w:i/>
      <w:lang w:val="x-none" w:eastAsia="x-none"/>
    </w:rPr>
  </w:style>
  <w:style w:type="character" w:customStyle="1" w:styleId="FooterChar">
    <w:name w:val="Footer Char"/>
    <w:basedOn w:val="DefaultParagraphFont"/>
    <w:link w:val="Footer"/>
    <w:rsid w:val="001E4F02"/>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1E4F02"/>
    <w:pPr>
      <w:keepNext/>
      <w:spacing w:before="60" w:after="60"/>
    </w:pPr>
    <w:rPr>
      <w:b/>
      <w:bCs/>
      <w:sz w:val="16"/>
    </w:rPr>
  </w:style>
  <w:style w:type="character" w:styleId="PageNumber">
    <w:name w:val="page number"/>
    <w:basedOn w:val="DefaultParagraphFont"/>
    <w:rsid w:val="001E4F0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E4F02"/>
    <w:rPr>
      <w:rFonts w:ascii="Arial" w:eastAsia="SimSun" w:hAnsi="Arial" w:cs="Times New Roman"/>
      <w:sz w:val="36"/>
      <w:szCs w:val="20"/>
      <w:lang w:val="en-GB"/>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1E4F02"/>
    <w:rPr>
      <w:rFonts w:ascii="Times New Roman" w:eastAsia="SimSun" w:hAnsi="Times New Roman" w:cs="Times New Roman"/>
      <w:b/>
      <w:bCs/>
      <w:sz w:val="16"/>
      <w:szCs w:val="20"/>
      <w:lang w:val="en-GB"/>
    </w:rPr>
  </w:style>
  <w:style w:type="character" w:styleId="PlaceholderText">
    <w:name w:val="Placeholder Text"/>
    <w:basedOn w:val="DefaultParagraphFont"/>
    <w:uiPriority w:val="99"/>
    <w:semiHidden/>
    <w:rsid w:val="001E4F02"/>
    <w:rPr>
      <w:color w:val="808080"/>
    </w:rPr>
  </w:style>
  <w:style w:type="table" w:styleId="TableGrid">
    <w:name w:val="Table Grid"/>
    <w:basedOn w:val="TableNormal"/>
    <w:uiPriority w:val="39"/>
    <w:rsid w:val="00FE2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000C33"/>
    <w:pPr>
      <w:keepLines/>
      <w:tabs>
        <w:tab w:val="center" w:pos="4536"/>
        <w:tab w:val="right" w:pos="9072"/>
      </w:tabs>
      <w:spacing w:before="0" w:after="180"/>
    </w:pPr>
    <w:rPr>
      <w:rFonts w:eastAsia="Times New Roman"/>
      <w:noProof/>
      <w:lang w:val="en-US"/>
    </w:rPr>
  </w:style>
  <w:style w:type="paragraph" w:customStyle="1" w:styleId="B1">
    <w:name w:val="B1"/>
    <w:basedOn w:val="List"/>
    <w:link w:val="B1Char"/>
    <w:rsid w:val="00000C33"/>
    <w:pPr>
      <w:spacing w:before="0" w:after="180"/>
      <w:ind w:left="568" w:hanging="284"/>
      <w:contextualSpacing w:val="0"/>
    </w:pPr>
    <w:rPr>
      <w:lang w:val="en-US"/>
    </w:rPr>
  </w:style>
  <w:style w:type="character" w:customStyle="1" w:styleId="B1Char">
    <w:name w:val="B1 Char"/>
    <w:link w:val="B1"/>
    <w:rsid w:val="00000C33"/>
    <w:rPr>
      <w:rFonts w:ascii="Times New Roman" w:eastAsia="SimSun" w:hAnsi="Times New Roman" w:cs="Times New Roman"/>
      <w:sz w:val="20"/>
      <w:szCs w:val="20"/>
    </w:rPr>
  </w:style>
  <w:style w:type="character" w:customStyle="1" w:styleId="EQChar">
    <w:name w:val="EQ Char"/>
    <w:link w:val="EQ"/>
    <w:qFormat/>
    <w:locked/>
    <w:rsid w:val="00000C33"/>
    <w:rPr>
      <w:rFonts w:ascii="Times New Roman" w:eastAsia="Times New Roman" w:hAnsi="Times New Roman" w:cs="Times New Roman"/>
      <w:noProof/>
      <w:sz w:val="20"/>
      <w:szCs w:val="20"/>
    </w:rPr>
  </w:style>
  <w:style w:type="paragraph" w:styleId="List">
    <w:name w:val="List"/>
    <w:basedOn w:val="Normal"/>
    <w:uiPriority w:val="99"/>
    <w:semiHidden/>
    <w:unhideWhenUsed/>
    <w:rsid w:val="00000C33"/>
    <w:pPr>
      <w:ind w:left="360" w:hanging="360"/>
      <w:contextualSpacing/>
    </w:pPr>
  </w:style>
  <w:style w:type="paragraph" w:customStyle="1" w:styleId="TAH">
    <w:name w:val="TAH"/>
    <w:basedOn w:val="TAC"/>
    <w:link w:val="TAHCar"/>
    <w:qFormat/>
    <w:rsid w:val="000D5CD6"/>
    <w:rPr>
      <w:b/>
    </w:rPr>
  </w:style>
  <w:style w:type="paragraph" w:customStyle="1" w:styleId="TAC">
    <w:name w:val="TAC"/>
    <w:basedOn w:val="Normal"/>
    <w:link w:val="TACChar"/>
    <w:qFormat/>
    <w:rsid w:val="000D5CD6"/>
    <w:pPr>
      <w:keepNext/>
      <w:keepLines/>
      <w:overflowPunct/>
      <w:autoSpaceDE/>
      <w:autoSpaceDN/>
      <w:adjustRightInd/>
      <w:spacing w:before="0" w:after="0"/>
      <w:jc w:val="center"/>
      <w:textAlignment w:val="auto"/>
    </w:pPr>
    <w:rPr>
      <w:rFonts w:ascii="Arial" w:eastAsiaTheme="minorEastAsia" w:hAnsi="Arial"/>
      <w:sz w:val="18"/>
    </w:rPr>
  </w:style>
  <w:style w:type="paragraph" w:customStyle="1" w:styleId="TH">
    <w:name w:val="TH"/>
    <w:basedOn w:val="Normal"/>
    <w:link w:val="THChar"/>
    <w:qFormat/>
    <w:rsid w:val="000D5CD6"/>
    <w:pPr>
      <w:keepNext/>
      <w:keepLines/>
      <w:overflowPunct/>
      <w:autoSpaceDE/>
      <w:autoSpaceDN/>
      <w:adjustRightInd/>
      <w:spacing w:before="60" w:after="180"/>
      <w:jc w:val="center"/>
      <w:textAlignment w:val="auto"/>
    </w:pPr>
    <w:rPr>
      <w:rFonts w:ascii="Arial" w:eastAsiaTheme="minorEastAsia" w:hAnsi="Arial"/>
      <w:b/>
    </w:rPr>
  </w:style>
  <w:style w:type="character" w:customStyle="1" w:styleId="TACChar">
    <w:name w:val="TAC Char"/>
    <w:link w:val="TAC"/>
    <w:qFormat/>
    <w:rsid w:val="000D5CD6"/>
    <w:rPr>
      <w:rFonts w:ascii="Arial" w:eastAsiaTheme="minorEastAsia" w:hAnsi="Arial" w:cs="Times New Roman"/>
      <w:sz w:val="18"/>
      <w:szCs w:val="20"/>
      <w:lang w:val="en-GB"/>
    </w:rPr>
  </w:style>
  <w:style w:type="character" w:customStyle="1" w:styleId="THChar">
    <w:name w:val="TH Char"/>
    <w:link w:val="TH"/>
    <w:rsid w:val="000D5CD6"/>
    <w:rPr>
      <w:rFonts w:ascii="Arial" w:eastAsiaTheme="minorEastAsia" w:hAnsi="Arial" w:cs="Times New Roman"/>
      <w:b/>
      <w:sz w:val="20"/>
      <w:szCs w:val="20"/>
      <w:lang w:val="en-GB"/>
    </w:rPr>
  </w:style>
  <w:style w:type="character" w:customStyle="1" w:styleId="TAHCar">
    <w:name w:val="TAH Car"/>
    <w:link w:val="TAH"/>
    <w:qFormat/>
    <w:rsid w:val="000D5CD6"/>
    <w:rPr>
      <w:rFonts w:ascii="Arial" w:eastAsiaTheme="minorEastAsia" w:hAnsi="Arial" w:cs="Times New Roman"/>
      <w:b/>
      <w:sz w:val="18"/>
      <w:szCs w:val="20"/>
      <w:lang w:val="en-GB"/>
    </w:rPr>
  </w:style>
  <w:style w:type="character" w:customStyle="1" w:styleId="fontstyle01">
    <w:name w:val="fontstyle01"/>
    <w:basedOn w:val="DefaultParagraphFont"/>
    <w:rsid w:val="00DC008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F62E6"/>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860913">
      <w:bodyDiv w:val="1"/>
      <w:marLeft w:val="0"/>
      <w:marRight w:val="0"/>
      <w:marTop w:val="0"/>
      <w:marBottom w:val="0"/>
      <w:divBdr>
        <w:top w:val="none" w:sz="0" w:space="0" w:color="auto"/>
        <w:left w:val="none" w:sz="0" w:space="0" w:color="auto"/>
        <w:bottom w:val="none" w:sz="0" w:space="0" w:color="auto"/>
        <w:right w:val="none" w:sz="0" w:space="0" w:color="auto"/>
      </w:divBdr>
    </w:div>
    <w:div w:id="158715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Ramadan, Yahia</dc:creator>
  <cp:keywords/>
  <dc:description/>
  <cp:lastModifiedBy>Ramadan, Yahia</cp:lastModifiedBy>
  <cp:revision>11</cp:revision>
  <dcterms:created xsi:type="dcterms:W3CDTF">2019-09-26T00:00:00Z</dcterms:created>
  <dcterms:modified xsi:type="dcterms:W3CDTF">2019-10-03T21:09:00Z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a50ce719-f4a2-43dc-ab30-d5d85abe9394</vt:lpwstr>
  </property>
</Properties>
</file>